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2F2E" w14:textId="77777777" w:rsidR="00E65076" w:rsidRDefault="00E65076" w:rsidP="0041305D">
      <w:pPr>
        <w:jc w:val="center"/>
        <w:rPr>
          <w:rFonts w:ascii="Calibri" w:hAnsi="Calibri" w:cs="Calibri"/>
          <w:b/>
          <w:bCs/>
          <w:u w:val="single"/>
          <w:lang w:val="es-ES"/>
        </w:rPr>
      </w:pPr>
    </w:p>
    <w:p w14:paraId="0CD9806B" w14:textId="77777777" w:rsidR="00E65076" w:rsidRDefault="00E65076" w:rsidP="00E65076">
      <w:pPr>
        <w:pStyle w:val="Default"/>
      </w:pPr>
    </w:p>
    <w:p w14:paraId="0A444340" w14:textId="0F203023" w:rsidR="00E65076" w:rsidRDefault="00E65076" w:rsidP="00E65076">
      <w:pPr>
        <w:jc w:val="center"/>
        <w:rPr>
          <w:rFonts w:ascii="Calibri" w:hAnsi="Calibri" w:cs="Calibri"/>
          <w:b/>
          <w:bCs/>
          <w:u w:val="single"/>
          <w:lang w:val="es-ES"/>
        </w:rPr>
      </w:pPr>
      <w:r>
        <w:t xml:space="preserve"> Consulta Pública</w:t>
      </w:r>
    </w:p>
    <w:p w14:paraId="5EC28455" w14:textId="77D4970C" w:rsidR="005811E1" w:rsidRPr="00A850D5" w:rsidRDefault="005811E1" w:rsidP="0041305D">
      <w:pPr>
        <w:jc w:val="center"/>
        <w:rPr>
          <w:rFonts w:ascii="Calibri" w:hAnsi="Calibri" w:cs="Calibri"/>
          <w:b/>
          <w:bCs/>
          <w:u w:val="single"/>
          <w:lang w:val="es-ES"/>
        </w:rPr>
      </w:pPr>
      <w:r w:rsidRPr="00A850D5">
        <w:rPr>
          <w:rFonts w:ascii="Calibri" w:hAnsi="Calibri" w:cs="Calibri"/>
          <w:b/>
          <w:bCs/>
          <w:u w:val="single"/>
          <w:lang w:val="es-ES"/>
        </w:rPr>
        <w:t>Reglamento de Rotulación del Acero para Obras de Hormigón Armado</w:t>
      </w:r>
    </w:p>
    <w:p w14:paraId="331B9B58" w14:textId="3F07E3C3" w:rsidR="000C4320" w:rsidRPr="00E65076" w:rsidRDefault="000C4320" w:rsidP="00E65076">
      <w:pPr>
        <w:pStyle w:val="Prrafodelista"/>
        <w:numPr>
          <w:ilvl w:val="0"/>
          <w:numId w:val="2"/>
        </w:numPr>
        <w:jc w:val="both"/>
        <w:rPr>
          <w:rFonts w:ascii="Calibri" w:hAnsi="Calibri" w:cs="Calibri"/>
          <w:b/>
          <w:bCs/>
          <w:lang w:val="es-ES"/>
        </w:rPr>
      </w:pPr>
      <w:r w:rsidRPr="00E65076">
        <w:rPr>
          <w:rFonts w:ascii="Calibri" w:hAnsi="Calibri" w:cs="Calibri"/>
          <w:b/>
          <w:bCs/>
          <w:lang w:val="es-ES"/>
        </w:rPr>
        <w:t>Contexto</w:t>
      </w:r>
    </w:p>
    <w:p w14:paraId="280E7758" w14:textId="03262D1E" w:rsidR="00A850D5" w:rsidRPr="00A850D5" w:rsidRDefault="00A850D5" w:rsidP="00A850D5">
      <w:pPr>
        <w:pStyle w:val="paragraph"/>
        <w:spacing w:before="0" w:beforeAutospacing="0" w:after="0" w:afterAutospacing="0"/>
        <w:jc w:val="both"/>
        <w:textAlignment w:val="baseline"/>
        <w:rPr>
          <w:rFonts w:ascii="Calibri" w:hAnsi="Calibri" w:cs="Calibri"/>
          <w:sz w:val="18"/>
          <w:szCs w:val="18"/>
        </w:rPr>
      </w:pPr>
      <w:r w:rsidRPr="00A850D5">
        <w:rPr>
          <w:rStyle w:val="normaltextrun"/>
          <w:rFonts w:ascii="Calibri" w:eastAsiaTheme="majorEastAsia" w:hAnsi="Calibri" w:cs="Calibri"/>
          <w:sz w:val="22"/>
          <w:szCs w:val="22"/>
        </w:rPr>
        <w:t>Las Barras de Acero para refuerzo de hormigón armado son un elemento importante para el desarrollo habitacional y comercial del país, ya que son utilizadas en la mayoría de las construcciones. </w:t>
      </w:r>
      <w:r w:rsidRPr="00A850D5">
        <w:rPr>
          <w:rStyle w:val="eop"/>
          <w:rFonts w:ascii="Calibri" w:eastAsiaTheme="majorEastAsia" w:hAnsi="Calibri" w:cs="Calibri"/>
          <w:sz w:val="22"/>
          <w:szCs w:val="22"/>
        </w:rPr>
        <w:t> </w:t>
      </w:r>
      <w:r w:rsidR="00B64896" w:rsidRPr="00A850D5">
        <w:rPr>
          <w:rStyle w:val="normaltextrun"/>
          <w:rFonts w:ascii="Calibri" w:eastAsiaTheme="majorEastAsia" w:hAnsi="Calibri" w:cs="Calibri"/>
          <w:sz w:val="22"/>
          <w:szCs w:val="22"/>
        </w:rPr>
        <w:t>En Chile se comercializa una gran variedad de aceros para obras de hormigón armado, y el consumo de barras de refuerzo incluye productos importados y nacionales, fabricados con diferentes componentes que generan productos aparentemente iguales pero cuyas características técnicas son diferentes.</w:t>
      </w:r>
      <w:r w:rsidR="00B64896" w:rsidRPr="00A850D5">
        <w:rPr>
          <w:rStyle w:val="eop"/>
          <w:rFonts w:ascii="Calibri" w:eastAsiaTheme="majorEastAsia" w:hAnsi="Calibri" w:cs="Calibri"/>
          <w:sz w:val="22"/>
          <w:szCs w:val="22"/>
        </w:rPr>
        <w:t> </w:t>
      </w:r>
    </w:p>
    <w:p w14:paraId="0BC0FA3B" w14:textId="77777777" w:rsidR="00CF0EF9" w:rsidRDefault="00CF0EF9" w:rsidP="00A850D5">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4E05226A" w14:textId="1D9F8513" w:rsidR="00A850D5" w:rsidRPr="00A850D5" w:rsidRDefault="00A850D5" w:rsidP="00A850D5">
      <w:pPr>
        <w:pStyle w:val="paragraph"/>
        <w:spacing w:before="0" w:beforeAutospacing="0" w:after="0" w:afterAutospacing="0"/>
        <w:jc w:val="both"/>
        <w:textAlignment w:val="baseline"/>
        <w:rPr>
          <w:rFonts w:ascii="Calibri" w:hAnsi="Calibri" w:cs="Calibri"/>
          <w:sz w:val="18"/>
          <w:szCs w:val="18"/>
        </w:rPr>
      </w:pPr>
      <w:r w:rsidRPr="00A850D5">
        <w:rPr>
          <w:rStyle w:val="normaltextrun"/>
          <w:rFonts w:ascii="Calibri" w:eastAsiaTheme="majorEastAsia" w:hAnsi="Calibri" w:cs="Calibri"/>
          <w:sz w:val="22"/>
          <w:szCs w:val="22"/>
        </w:rPr>
        <w:t>El nuevo reglamento para el etiquetado viene a subsanar la falta de información acerca de las características del acero que se comercializa en el país, lo que puede afectar la seguridad de las personas y de sus bienes, a través de la calidad de las edificaciones construidas con dicho material, especialmente considerando las condiciones sísmicas del país.</w:t>
      </w:r>
      <w:r w:rsidRPr="00A850D5">
        <w:rPr>
          <w:rStyle w:val="eop"/>
          <w:rFonts w:ascii="Calibri" w:eastAsiaTheme="majorEastAsia" w:hAnsi="Calibri" w:cs="Calibri"/>
          <w:sz w:val="22"/>
          <w:szCs w:val="22"/>
        </w:rPr>
        <w:t> </w:t>
      </w:r>
    </w:p>
    <w:p w14:paraId="5BF73AF0" w14:textId="77777777" w:rsidR="00CF0EF9" w:rsidRDefault="00CF0EF9" w:rsidP="00A850D5">
      <w:pPr>
        <w:pStyle w:val="paragraph"/>
        <w:spacing w:before="0" w:beforeAutospacing="0" w:after="0" w:afterAutospacing="0"/>
        <w:jc w:val="both"/>
        <w:textAlignment w:val="baseline"/>
        <w:rPr>
          <w:rStyle w:val="normaltextrun"/>
          <w:rFonts w:ascii="Calibri" w:eastAsiaTheme="majorEastAsia" w:hAnsi="Calibri" w:cs="Calibri"/>
          <w:sz w:val="22"/>
          <w:szCs w:val="22"/>
        </w:rPr>
      </w:pPr>
    </w:p>
    <w:p w14:paraId="24F58A97" w14:textId="369CF490" w:rsidR="00A850D5" w:rsidRPr="00A850D5" w:rsidRDefault="00A850D5" w:rsidP="00A850D5">
      <w:pPr>
        <w:pStyle w:val="paragraph"/>
        <w:spacing w:before="0" w:beforeAutospacing="0" w:after="0" w:afterAutospacing="0"/>
        <w:jc w:val="both"/>
        <w:textAlignment w:val="baseline"/>
        <w:rPr>
          <w:rFonts w:ascii="Calibri" w:hAnsi="Calibri" w:cs="Calibri"/>
          <w:sz w:val="18"/>
          <w:szCs w:val="18"/>
        </w:rPr>
      </w:pPr>
      <w:r w:rsidRPr="00A850D5">
        <w:rPr>
          <w:rStyle w:val="normaltextrun"/>
          <w:rFonts w:ascii="Calibri" w:eastAsiaTheme="majorEastAsia" w:hAnsi="Calibri" w:cs="Calibri"/>
          <w:sz w:val="22"/>
          <w:szCs w:val="22"/>
        </w:rPr>
        <w:t>Los de origen importado, provienen en un porcentaje superior al 95% desde China, seguido muy de lejos por Corea, Turquía, Brasil, Argentina y Perú. La huella de Carbono de la producción de barras de refuerzo nacional ha disminuido los últimos años por el uso de energías verdes, mejoras en procesos y mayor reciclaje de chatarra.</w:t>
      </w:r>
      <w:r w:rsidRPr="00A850D5">
        <w:rPr>
          <w:rStyle w:val="eop"/>
          <w:rFonts w:ascii="Calibri" w:eastAsiaTheme="majorEastAsia" w:hAnsi="Calibri" w:cs="Calibri"/>
          <w:sz w:val="22"/>
          <w:szCs w:val="22"/>
        </w:rPr>
        <w:t> </w:t>
      </w:r>
    </w:p>
    <w:p w14:paraId="7AD27E92" w14:textId="352BF1A2" w:rsidR="00A850D5" w:rsidRPr="00A850D5" w:rsidRDefault="00A850D5" w:rsidP="00A850D5">
      <w:pPr>
        <w:pStyle w:val="paragraph"/>
        <w:spacing w:before="0" w:beforeAutospacing="0" w:after="0" w:afterAutospacing="0"/>
        <w:jc w:val="center"/>
        <w:textAlignment w:val="baseline"/>
        <w:rPr>
          <w:rFonts w:ascii="Calibri" w:hAnsi="Calibri" w:cs="Calibri"/>
          <w:sz w:val="18"/>
          <w:szCs w:val="18"/>
        </w:rPr>
      </w:pPr>
      <w:r w:rsidRPr="00A850D5">
        <w:rPr>
          <w:rStyle w:val="wacimagecontainer"/>
          <w:rFonts w:ascii="Calibri" w:eastAsiaTheme="majorEastAsia" w:hAnsi="Calibri" w:cs="Calibri"/>
          <w:noProof/>
          <w:sz w:val="18"/>
          <w:szCs w:val="18"/>
        </w:rPr>
        <w:lastRenderedPageBreak/>
        <w:drawing>
          <wp:inline distT="0" distB="0" distL="0" distR="0" wp14:anchorId="058DB2BC" wp14:editId="6C135AA3">
            <wp:extent cx="5200650" cy="4556893"/>
            <wp:effectExtent l="0" t="0" r="0" b="0"/>
            <wp:docPr id="1785338839"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38839" name="Imagen 1" descr="Gráfic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3142" cy="4567838"/>
                    </a:xfrm>
                    <a:prstGeom prst="rect">
                      <a:avLst/>
                    </a:prstGeom>
                    <a:noFill/>
                    <a:ln>
                      <a:noFill/>
                    </a:ln>
                  </pic:spPr>
                </pic:pic>
              </a:graphicData>
            </a:graphic>
          </wp:inline>
        </w:drawing>
      </w:r>
      <w:r w:rsidRPr="00A850D5">
        <w:rPr>
          <w:rStyle w:val="eop"/>
          <w:rFonts w:ascii="Calibri" w:eastAsiaTheme="majorEastAsia" w:hAnsi="Calibri" w:cs="Calibri"/>
          <w:sz w:val="22"/>
          <w:szCs w:val="22"/>
        </w:rPr>
        <w:t> </w:t>
      </w:r>
    </w:p>
    <w:p w14:paraId="784E9E52" w14:textId="77777777" w:rsidR="00A850D5" w:rsidRPr="00A850D5" w:rsidRDefault="00A850D5" w:rsidP="00A850D5">
      <w:pPr>
        <w:pStyle w:val="paragraph"/>
        <w:spacing w:before="0" w:beforeAutospacing="0" w:after="0" w:afterAutospacing="0"/>
        <w:jc w:val="center"/>
        <w:textAlignment w:val="baseline"/>
        <w:rPr>
          <w:rFonts w:ascii="Calibri" w:hAnsi="Calibri" w:cs="Calibri"/>
          <w:sz w:val="18"/>
          <w:szCs w:val="18"/>
        </w:rPr>
      </w:pPr>
      <w:r w:rsidRPr="00A850D5">
        <w:rPr>
          <w:rStyle w:val="normaltextrun"/>
          <w:rFonts w:ascii="Calibri" w:eastAsiaTheme="majorEastAsia" w:hAnsi="Calibri" w:cs="Calibri"/>
          <w:sz w:val="20"/>
          <w:szCs w:val="20"/>
        </w:rPr>
        <w:t>Fuente: Desarrollo propio de ICHA sobre la base de informes de importaciones de Aduanas y Reportes de las propias empresas.</w:t>
      </w:r>
      <w:r w:rsidRPr="00A850D5">
        <w:rPr>
          <w:rStyle w:val="eop"/>
          <w:rFonts w:ascii="Calibri" w:eastAsiaTheme="majorEastAsia" w:hAnsi="Calibri" w:cs="Calibri"/>
          <w:sz w:val="20"/>
          <w:szCs w:val="20"/>
        </w:rPr>
        <w:t> </w:t>
      </w:r>
    </w:p>
    <w:p w14:paraId="6028567F" w14:textId="77777777" w:rsidR="00AE308E" w:rsidRDefault="00AE308E" w:rsidP="005811E1">
      <w:pPr>
        <w:jc w:val="both"/>
        <w:rPr>
          <w:rFonts w:ascii="Calibri" w:hAnsi="Calibri" w:cs="Calibri"/>
        </w:rPr>
      </w:pPr>
    </w:p>
    <w:p w14:paraId="68A9C364" w14:textId="24D457D5" w:rsidR="00AE308E" w:rsidRDefault="3A2CD0B7" w:rsidP="00AE308E">
      <w:pPr>
        <w:jc w:val="both"/>
        <w:rPr>
          <w:rFonts w:ascii="Calibri" w:hAnsi="Calibri" w:cs="Calibri"/>
          <w:lang w:val="es-ES"/>
        </w:rPr>
      </w:pPr>
      <w:r w:rsidRPr="4D733FB1">
        <w:rPr>
          <w:rFonts w:ascii="Calibri" w:hAnsi="Calibri" w:cs="Calibri"/>
          <w:lang w:val="es-ES"/>
        </w:rPr>
        <w:t xml:space="preserve">El año 2017 se ingresó a la Contraloría General de la República el decreto N° 133 del Ministerio de Economía, Fomento y Turismo. Este reglamento fue retirado en marzo de 2018. La importancia de la materia volvió a surgir durante el 2023 en el contexto de las Mesas </w:t>
      </w:r>
      <w:r w:rsidR="5E920C59" w:rsidRPr="4D733FB1">
        <w:rPr>
          <w:rFonts w:ascii="Calibri" w:hAnsi="Calibri" w:cs="Calibri"/>
          <w:lang w:val="es-ES"/>
        </w:rPr>
        <w:t xml:space="preserve">Ejecutivas para la </w:t>
      </w:r>
      <w:r w:rsidRPr="4D733FB1">
        <w:rPr>
          <w:rFonts w:ascii="Calibri" w:hAnsi="Calibri" w:cs="Calibri"/>
          <w:lang w:val="es-ES"/>
        </w:rPr>
        <w:t xml:space="preserve">Productividad </w:t>
      </w:r>
      <w:r w:rsidR="7AFD4D35" w:rsidRPr="4D733FB1">
        <w:rPr>
          <w:rFonts w:ascii="Calibri" w:hAnsi="Calibri" w:cs="Calibri"/>
          <w:lang w:val="es-ES"/>
        </w:rPr>
        <w:t>(M</w:t>
      </w:r>
      <w:r w:rsidRPr="4D733FB1">
        <w:rPr>
          <w:rFonts w:ascii="Calibri" w:hAnsi="Calibri" w:cs="Calibri"/>
          <w:lang w:val="es-ES"/>
        </w:rPr>
        <w:t>EP)</w:t>
      </w:r>
      <w:r w:rsidR="3DE2F72D" w:rsidRPr="4D733FB1">
        <w:rPr>
          <w:rFonts w:ascii="Calibri" w:hAnsi="Calibri" w:cs="Calibri"/>
          <w:lang w:val="es-ES"/>
        </w:rPr>
        <w:t xml:space="preserve"> de CORFO, que tienen por objetivo solucionar trabas que limiten la productividad de algún sector.  </w:t>
      </w:r>
    </w:p>
    <w:p w14:paraId="4F988847" w14:textId="1B89CF9D" w:rsidR="00FA4D7E" w:rsidRPr="00A850D5" w:rsidRDefault="00FA4D7E" w:rsidP="00AE308E">
      <w:pPr>
        <w:jc w:val="both"/>
        <w:rPr>
          <w:rFonts w:ascii="Calibri" w:hAnsi="Calibri" w:cs="Calibri"/>
          <w:lang w:val="es-ES"/>
        </w:rPr>
      </w:pPr>
      <w:r>
        <w:rPr>
          <w:rFonts w:ascii="Calibri" w:hAnsi="Calibri" w:cs="Calibri"/>
          <w:lang w:val="es-ES"/>
        </w:rPr>
        <w:t>Se trata del ejercicio de la potestad reglamentaria autónoma, pues no existe un manda</w:t>
      </w:r>
      <w:r w:rsidR="00357BFE">
        <w:rPr>
          <w:rFonts w:ascii="Calibri" w:hAnsi="Calibri" w:cs="Calibri"/>
          <w:lang w:val="es-ES"/>
        </w:rPr>
        <w:t xml:space="preserve">to legal expreso para regular esta materia, sin perjuicio de las normas sobre protección al consumidor y el rol del Servicio Nacional del Consumidor. </w:t>
      </w:r>
    </w:p>
    <w:p w14:paraId="25E8A25E" w14:textId="7955BC43" w:rsidR="00AE308E" w:rsidRPr="00E65076" w:rsidRDefault="00E65076" w:rsidP="00E65076">
      <w:pPr>
        <w:pStyle w:val="Prrafodelista"/>
        <w:numPr>
          <w:ilvl w:val="0"/>
          <w:numId w:val="2"/>
        </w:numPr>
        <w:jc w:val="both"/>
        <w:rPr>
          <w:rFonts w:ascii="Calibri" w:hAnsi="Calibri" w:cs="Calibri"/>
          <w:b/>
          <w:bCs/>
          <w:lang w:val="es-ES"/>
        </w:rPr>
      </w:pPr>
      <w:r w:rsidRPr="00E65076">
        <w:rPr>
          <w:rFonts w:ascii="Calibri" w:hAnsi="Calibri" w:cs="Calibri"/>
          <w:b/>
          <w:bCs/>
          <w:lang w:val="es-ES"/>
        </w:rPr>
        <w:t>Propósito del Reglamento</w:t>
      </w:r>
    </w:p>
    <w:p w14:paraId="2E707718" w14:textId="0AECC61C" w:rsidR="000C4320" w:rsidRPr="00A850D5" w:rsidRDefault="000C4320" w:rsidP="005811E1">
      <w:pPr>
        <w:jc w:val="both"/>
        <w:rPr>
          <w:rFonts w:ascii="Calibri" w:hAnsi="Calibri" w:cs="Calibri"/>
          <w:b/>
          <w:bCs/>
          <w:lang w:val="es-ES"/>
        </w:rPr>
      </w:pPr>
      <w:r w:rsidRPr="00A850D5">
        <w:rPr>
          <w:rFonts w:ascii="Calibri" w:hAnsi="Calibri" w:cs="Calibri"/>
          <w:b/>
          <w:bCs/>
          <w:lang w:val="es-ES"/>
        </w:rPr>
        <w:t>Contenido del reglamento</w:t>
      </w:r>
    </w:p>
    <w:p w14:paraId="400D6DAF" w14:textId="567F5AC1" w:rsidR="005811E1" w:rsidRPr="00A850D5" w:rsidRDefault="0019537C" w:rsidP="005811E1">
      <w:pPr>
        <w:jc w:val="both"/>
        <w:rPr>
          <w:rFonts w:ascii="Calibri" w:hAnsi="Calibri" w:cs="Calibri"/>
        </w:rPr>
      </w:pPr>
      <w:r w:rsidRPr="00A850D5">
        <w:rPr>
          <w:rFonts w:ascii="Calibri" w:hAnsi="Calibri" w:cs="Calibri"/>
          <w:lang w:val="es-ES"/>
        </w:rPr>
        <w:t>El reglamento tiene por objeto establecer los requisitos de rotulación que deben cumplir las barras de acero</w:t>
      </w:r>
      <w:r w:rsidR="00411BFC" w:rsidRPr="00A850D5">
        <w:rPr>
          <w:rFonts w:ascii="Calibri" w:hAnsi="Calibri" w:cs="Calibri"/>
          <w:lang w:val="es-ES"/>
        </w:rPr>
        <w:t xml:space="preserve"> para </w:t>
      </w:r>
      <w:r w:rsidR="005811E1" w:rsidRPr="00A850D5">
        <w:rPr>
          <w:rFonts w:ascii="Calibri" w:hAnsi="Calibri" w:cs="Calibri"/>
        </w:rPr>
        <w:t xml:space="preserve">hormigón armado, laminadas en caliente, barras de sección circular lisas o con resaltes, laminadas rectas o en rollos y las barras enderezadas a partir de rollos, destinadas a emplearse en obras de hormigón armado, de cualquier origen o procedencia, que se comercialicen </w:t>
      </w:r>
      <w:r w:rsidR="005811E1" w:rsidRPr="00A850D5">
        <w:rPr>
          <w:rFonts w:ascii="Calibri" w:hAnsi="Calibri" w:cs="Calibri"/>
        </w:rPr>
        <w:lastRenderedPageBreak/>
        <w:t>en el mercado nacional, cuando éstas constituyen un bulto para ser despachadas por el proveedor</w:t>
      </w:r>
      <w:r w:rsidR="0026689E" w:rsidRPr="00A850D5">
        <w:rPr>
          <w:rFonts w:ascii="Calibri" w:hAnsi="Calibri" w:cs="Calibri"/>
        </w:rPr>
        <w:t xml:space="preserve"> (artículo 1°)</w:t>
      </w:r>
      <w:r w:rsidR="005811E1" w:rsidRPr="00A850D5">
        <w:rPr>
          <w:rFonts w:ascii="Calibri" w:hAnsi="Calibri" w:cs="Calibri"/>
        </w:rPr>
        <w:t xml:space="preserve">. </w:t>
      </w:r>
    </w:p>
    <w:p w14:paraId="258A5E13" w14:textId="1E3A8F43" w:rsidR="005811E1" w:rsidRPr="00A850D5" w:rsidRDefault="005811E1" w:rsidP="005811E1">
      <w:pPr>
        <w:jc w:val="both"/>
        <w:rPr>
          <w:rFonts w:ascii="Calibri" w:hAnsi="Calibri" w:cs="Calibri"/>
          <w:lang w:val="es-ES"/>
        </w:rPr>
      </w:pPr>
      <w:r w:rsidRPr="00A850D5">
        <w:rPr>
          <w:rFonts w:ascii="Calibri" w:hAnsi="Calibri" w:cs="Calibri"/>
          <w:lang w:val="es-ES"/>
        </w:rPr>
        <w:t xml:space="preserve">Se considera parte integrante del reglamento la norma chilena </w:t>
      </w:r>
      <w:proofErr w:type="spellStart"/>
      <w:r w:rsidRPr="00A850D5">
        <w:rPr>
          <w:rFonts w:ascii="Calibri" w:hAnsi="Calibri" w:cs="Calibri"/>
          <w:lang w:val="es-ES"/>
        </w:rPr>
        <w:t>NCh</w:t>
      </w:r>
      <w:proofErr w:type="spellEnd"/>
      <w:r w:rsidRPr="00A850D5">
        <w:rPr>
          <w:rFonts w:ascii="Calibri" w:hAnsi="Calibri" w:cs="Calibri"/>
          <w:lang w:val="es-ES"/>
        </w:rPr>
        <w:t xml:space="preserve"> 204 </w:t>
      </w:r>
      <w:r w:rsidRPr="00A850D5">
        <w:rPr>
          <w:rFonts w:ascii="Calibri" w:hAnsi="Calibri" w:cs="Calibri"/>
        </w:rPr>
        <w:t>de requisitos para barras de acero para hormigón armado</w:t>
      </w:r>
      <w:r w:rsidR="0026689E" w:rsidRPr="00A850D5">
        <w:rPr>
          <w:rFonts w:ascii="Calibri" w:hAnsi="Calibri" w:cs="Calibri"/>
        </w:rPr>
        <w:t xml:space="preserve"> (inciso final artículo 2°)</w:t>
      </w:r>
      <w:r w:rsidR="00BE5B58" w:rsidRPr="00A850D5">
        <w:rPr>
          <w:rFonts w:ascii="Calibri" w:hAnsi="Calibri" w:cs="Calibri"/>
        </w:rPr>
        <w:t xml:space="preserve">, que fue </w:t>
      </w:r>
      <w:r w:rsidR="000F57FD" w:rsidRPr="00A850D5">
        <w:rPr>
          <w:rFonts w:ascii="Calibri" w:hAnsi="Calibri" w:cs="Calibri"/>
        </w:rPr>
        <w:t>oficializada</w:t>
      </w:r>
      <w:r w:rsidR="00BE5B58" w:rsidRPr="00A850D5">
        <w:rPr>
          <w:rFonts w:ascii="Calibri" w:hAnsi="Calibri" w:cs="Calibri"/>
        </w:rPr>
        <w:t xml:space="preserve"> por el Ministerio de Vivienda y Urbanismo</w:t>
      </w:r>
      <w:r w:rsidR="000F57FD" w:rsidRPr="00A850D5">
        <w:rPr>
          <w:rFonts w:ascii="Calibri" w:hAnsi="Calibri" w:cs="Calibri"/>
        </w:rPr>
        <w:t xml:space="preserve"> mediante decreto exento N° 78 de 2021. </w:t>
      </w:r>
    </w:p>
    <w:p w14:paraId="41E7EC87" w14:textId="0B707D90" w:rsidR="005811E1" w:rsidRPr="00A850D5" w:rsidRDefault="005811E1" w:rsidP="005811E1">
      <w:pPr>
        <w:jc w:val="both"/>
        <w:rPr>
          <w:rFonts w:ascii="Calibri" w:hAnsi="Calibri" w:cs="Calibri"/>
          <w:lang w:val="es-ES"/>
        </w:rPr>
      </w:pPr>
      <w:r w:rsidRPr="00A850D5">
        <w:rPr>
          <w:rFonts w:ascii="Calibri" w:hAnsi="Calibri" w:cs="Calibri"/>
          <w:lang w:val="es-ES"/>
        </w:rPr>
        <w:t>El fabricador o importador deberá rotular</w:t>
      </w:r>
      <w:r w:rsidR="006A386D" w:rsidRPr="00A850D5">
        <w:rPr>
          <w:rFonts w:ascii="Calibri" w:hAnsi="Calibri" w:cs="Calibri"/>
          <w:lang w:val="es-ES"/>
        </w:rPr>
        <w:t>, y e</w:t>
      </w:r>
      <w:r w:rsidRPr="00A850D5">
        <w:rPr>
          <w:rFonts w:ascii="Calibri" w:hAnsi="Calibri" w:cs="Calibri"/>
          <w:lang w:val="es-ES"/>
        </w:rPr>
        <w:t>l distribuidor o comercializador deberá asegurar la presencia del rótulo</w:t>
      </w:r>
      <w:r w:rsidR="0026689E" w:rsidRPr="00A850D5">
        <w:rPr>
          <w:rFonts w:ascii="Calibri" w:hAnsi="Calibri" w:cs="Calibri"/>
          <w:lang w:val="es-ES"/>
        </w:rPr>
        <w:t xml:space="preserve"> (artículo 3°)</w:t>
      </w:r>
      <w:r w:rsidRPr="00A850D5">
        <w:rPr>
          <w:rFonts w:ascii="Calibri" w:hAnsi="Calibri" w:cs="Calibri"/>
          <w:lang w:val="es-ES"/>
        </w:rPr>
        <w:t>. En caso de alterar el contenido original del acero, cambiando su forma, se deberá reemplazar el rótulo</w:t>
      </w:r>
      <w:r w:rsidR="0026689E" w:rsidRPr="00A850D5">
        <w:rPr>
          <w:rFonts w:ascii="Calibri" w:hAnsi="Calibri" w:cs="Calibri"/>
          <w:lang w:val="es-ES"/>
        </w:rPr>
        <w:t xml:space="preserve"> (artículo 4°)</w:t>
      </w:r>
      <w:r w:rsidRPr="00A850D5">
        <w:rPr>
          <w:rFonts w:ascii="Calibri" w:hAnsi="Calibri" w:cs="Calibri"/>
          <w:lang w:val="es-ES"/>
        </w:rPr>
        <w:t xml:space="preserve">. </w:t>
      </w:r>
    </w:p>
    <w:p w14:paraId="55FE9B02" w14:textId="104F7555" w:rsidR="00276DC2" w:rsidRPr="00A850D5" w:rsidRDefault="0026689E" w:rsidP="005811E1">
      <w:pPr>
        <w:jc w:val="both"/>
        <w:rPr>
          <w:rFonts w:ascii="Calibri" w:hAnsi="Calibri" w:cs="Calibri"/>
          <w:lang w:val="es-ES"/>
        </w:rPr>
      </w:pPr>
      <w:r w:rsidRPr="00A850D5">
        <w:rPr>
          <w:rFonts w:ascii="Calibri" w:hAnsi="Calibri" w:cs="Calibri"/>
          <w:lang w:val="es-ES"/>
        </w:rPr>
        <w:t>El rotulado deberá ser visible, indeleble y fácilmente accesible (artículo 5°). Si están amarrados en bultos, cada bulto deberá contar con una etiqueta (artículo 6°). La etiqueta deberá tener la información señalada en el artículo 7°</w:t>
      </w:r>
      <w:r w:rsidR="00276DC2" w:rsidRPr="00A850D5">
        <w:rPr>
          <w:rFonts w:ascii="Calibri" w:hAnsi="Calibri" w:cs="Calibri"/>
          <w:lang w:val="es-ES"/>
        </w:rPr>
        <w:t>, y las características físicas del artículo 8°, que incluye una imagen referencial para el rótulo</w:t>
      </w:r>
      <w:r w:rsidRPr="00A850D5">
        <w:rPr>
          <w:rFonts w:ascii="Calibri" w:hAnsi="Calibri" w:cs="Calibri"/>
          <w:lang w:val="es-ES"/>
        </w:rPr>
        <w:t>.</w:t>
      </w:r>
      <w:r w:rsidR="00276DC2" w:rsidRPr="00A850D5">
        <w:rPr>
          <w:rFonts w:ascii="Calibri" w:hAnsi="Calibri" w:cs="Calibri"/>
          <w:lang w:val="es-ES"/>
        </w:rPr>
        <w:t xml:space="preserve"> El artículo 9° dispone los requisitos para la comercialización del acero por medios electrónicos, o cuando se requiera incorporar</w:t>
      </w:r>
      <w:r w:rsidR="00527ED7" w:rsidRPr="00A850D5">
        <w:rPr>
          <w:rFonts w:ascii="Calibri" w:hAnsi="Calibri" w:cs="Calibri"/>
          <w:lang w:val="es-ES"/>
        </w:rPr>
        <w:t xml:space="preserve"> el rotulado a los documentos de acompañamiento. </w:t>
      </w:r>
    </w:p>
    <w:p w14:paraId="7FF4FC9C" w14:textId="0709598E" w:rsidR="00527ED7" w:rsidRPr="00A850D5" w:rsidRDefault="00BF2609" w:rsidP="005811E1">
      <w:pPr>
        <w:jc w:val="both"/>
        <w:rPr>
          <w:rFonts w:ascii="Calibri" w:hAnsi="Calibri" w:cs="Calibri"/>
          <w:lang w:val="es-ES"/>
        </w:rPr>
      </w:pPr>
      <w:r w:rsidRPr="00A850D5">
        <w:rPr>
          <w:rFonts w:ascii="Calibri" w:hAnsi="Calibri" w:cs="Calibri"/>
          <w:lang w:val="es-ES"/>
        </w:rPr>
        <w:t>Los proveedores de acero serán responsables de la veracidad de las indicaciones consignadas en los rótulos (artículo 10)</w:t>
      </w:r>
      <w:r w:rsidR="002505C8" w:rsidRPr="00A850D5">
        <w:rPr>
          <w:rFonts w:ascii="Calibri" w:hAnsi="Calibri" w:cs="Calibri"/>
          <w:lang w:val="es-ES"/>
        </w:rPr>
        <w:t xml:space="preserve">, sin poder consignar información que pueda inducir a error o confusión del acero, del proveedor o de la competencia (artículo 11). </w:t>
      </w:r>
    </w:p>
    <w:p w14:paraId="366E24C7" w14:textId="10A71D8D" w:rsidR="00C612B4" w:rsidRPr="00A850D5" w:rsidRDefault="00C612B4" w:rsidP="005811E1">
      <w:pPr>
        <w:jc w:val="both"/>
        <w:rPr>
          <w:rFonts w:ascii="Calibri" w:hAnsi="Calibri" w:cs="Calibri"/>
          <w:lang w:val="es-ES"/>
        </w:rPr>
      </w:pPr>
      <w:r w:rsidRPr="00A850D5">
        <w:rPr>
          <w:rFonts w:ascii="Calibri" w:hAnsi="Calibri" w:cs="Calibri"/>
          <w:lang w:val="es-ES"/>
        </w:rPr>
        <w:t>Las exigencias y requisitos de información constituyen información básica comercial en los términos de la Ley del Consumidor (artículo 12). El SERNAC velará por el cumplimiento de las obligaciones establecidas en el reglamento, pudiendo requerir información a los proveedores (artículo 13).</w:t>
      </w:r>
    </w:p>
    <w:p w14:paraId="2EB493BF" w14:textId="5933768D" w:rsidR="00E65076" w:rsidRPr="00E65076" w:rsidRDefault="5BC393A7" w:rsidP="4D733FB1">
      <w:pPr>
        <w:jc w:val="both"/>
        <w:rPr>
          <w:rFonts w:ascii="Calibri" w:hAnsi="Calibri" w:cs="Calibri"/>
          <w:lang w:val="es-ES"/>
        </w:rPr>
      </w:pPr>
      <w:r w:rsidRPr="4D733FB1">
        <w:rPr>
          <w:rFonts w:ascii="Calibri" w:hAnsi="Calibri" w:cs="Calibri"/>
          <w:lang w:val="es-ES"/>
        </w:rPr>
        <w:t xml:space="preserve">El decreto </w:t>
      </w:r>
      <w:proofErr w:type="gramStart"/>
      <w:r w:rsidRPr="4D733FB1">
        <w:rPr>
          <w:rFonts w:ascii="Calibri" w:hAnsi="Calibri" w:cs="Calibri"/>
          <w:lang w:val="es-ES"/>
        </w:rPr>
        <w:t>entrará en vigencia</w:t>
      </w:r>
      <w:proofErr w:type="gramEnd"/>
      <w:r w:rsidRPr="4D733FB1">
        <w:rPr>
          <w:rFonts w:ascii="Calibri" w:hAnsi="Calibri" w:cs="Calibri"/>
          <w:lang w:val="es-ES"/>
        </w:rPr>
        <w:t xml:space="preserve"> después de 180 días desde su publicación en el Diario Oficial. </w:t>
      </w:r>
      <w:r w:rsidR="1B81D0D8" w:rsidRPr="4D733FB1">
        <w:rPr>
          <w:rFonts w:ascii="Calibri" w:hAnsi="Calibri" w:cs="Calibri"/>
          <w:lang w:val="es-ES"/>
        </w:rPr>
        <w:t xml:space="preserve">Al acero que haya ingresado al país antes de eso se le aplicarán las normas vigentes al momento de su comercialización (artículo transitorio). </w:t>
      </w:r>
    </w:p>
    <w:p w14:paraId="6094C9BF" w14:textId="5FD6E072" w:rsidR="00E65076" w:rsidRPr="00E65076" w:rsidRDefault="2EF91200" w:rsidP="4D733FB1">
      <w:pPr>
        <w:jc w:val="both"/>
        <w:rPr>
          <w:rFonts w:ascii="Calibri" w:hAnsi="Calibri" w:cs="Calibri"/>
          <w:b/>
          <w:bCs/>
        </w:rPr>
      </w:pPr>
      <w:r w:rsidRPr="4D733FB1">
        <w:rPr>
          <w:rFonts w:ascii="Calibri" w:hAnsi="Calibri" w:cs="Calibri"/>
          <w:b/>
          <w:bCs/>
        </w:rPr>
        <w:t xml:space="preserve">        </w:t>
      </w:r>
      <w:r w:rsidR="01B269C5" w:rsidRPr="4D733FB1">
        <w:rPr>
          <w:rFonts w:ascii="Calibri" w:hAnsi="Calibri" w:cs="Calibri"/>
          <w:b/>
          <w:bCs/>
        </w:rPr>
        <w:t xml:space="preserve">III. Algunos elementos principales del Reglamento </w:t>
      </w:r>
    </w:p>
    <w:p w14:paraId="252DCE14" w14:textId="17CDFEF0" w:rsidR="00E65076" w:rsidRPr="00E65076" w:rsidRDefault="7C4ABE32" w:rsidP="4D733FB1">
      <w:pPr>
        <w:jc w:val="both"/>
        <w:rPr>
          <w:rFonts w:ascii="Calibri" w:eastAsia="Calibri" w:hAnsi="Calibri" w:cs="Calibri"/>
          <w:color w:val="000000" w:themeColor="text1"/>
        </w:rPr>
      </w:pPr>
      <w:r w:rsidRPr="4D733FB1">
        <w:rPr>
          <w:rFonts w:ascii="Calibri" w:hAnsi="Calibri" w:cs="Calibri"/>
        </w:rPr>
        <w:t xml:space="preserve">Los elementos principales del reglamento son </w:t>
      </w:r>
      <w:r w:rsidR="226DAB3F" w:rsidRPr="4D733FB1">
        <w:rPr>
          <w:rFonts w:ascii="Calibri" w:hAnsi="Calibri" w:cs="Calibri"/>
        </w:rPr>
        <w:t>el a</w:t>
      </w:r>
      <w:r w:rsidR="226DAB3F" w:rsidRPr="4D733FB1">
        <w:rPr>
          <w:rFonts w:ascii="Calibri" w:eastAsia="Calibri" w:hAnsi="Calibri" w:cs="Calibri"/>
          <w:color w:val="000000" w:themeColor="text1"/>
        </w:rPr>
        <w:t>lcance y ámbitos de aplicación de las modificaciones del etiquetado, las características</w:t>
      </w:r>
      <w:r w:rsidR="4A1F269D" w:rsidRPr="4D733FB1">
        <w:rPr>
          <w:rFonts w:ascii="Calibri" w:eastAsia="Calibri" w:hAnsi="Calibri" w:cs="Calibri"/>
          <w:color w:val="000000" w:themeColor="text1"/>
        </w:rPr>
        <w:t xml:space="preserve"> físicas</w:t>
      </w:r>
      <w:r w:rsidR="226DAB3F" w:rsidRPr="4D733FB1">
        <w:rPr>
          <w:rFonts w:ascii="Calibri" w:eastAsia="Calibri" w:hAnsi="Calibri" w:cs="Calibri"/>
          <w:color w:val="000000" w:themeColor="text1"/>
        </w:rPr>
        <w:t xml:space="preserve"> de la etiqu</w:t>
      </w:r>
      <w:r w:rsidR="70F3E3D6" w:rsidRPr="4D733FB1">
        <w:rPr>
          <w:rFonts w:ascii="Calibri" w:eastAsia="Calibri" w:hAnsi="Calibri" w:cs="Calibri"/>
          <w:color w:val="000000" w:themeColor="text1"/>
        </w:rPr>
        <w:t>eta</w:t>
      </w:r>
      <w:r w:rsidR="382F3847" w:rsidRPr="4D733FB1">
        <w:rPr>
          <w:rFonts w:ascii="Calibri" w:eastAsia="Calibri" w:hAnsi="Calibri" w:cs="Calibri"/>
          <w:color w:val="000000" w:themeColor="text1"/>
        </w:rPr>
        <w:t xml:space="preserve"> y la información que debe contener el rótulo, sus prohibiciones y </w:t>
      </w:r>
      <w:r w:rsidR="44D0C5A2" w:rsidRPr="4D733FB1">
        <w:rPr>
          <w:rFonts w:ascii="Calibri" w:eastAsia="Calibri" w:hAnsi="Calibri" w:cs="Calibri"/>
          <w:color w:val="000000" w:themeColor="text1"/>
        </w:rPr>
        <w:t>el ente fiscalizador de cumplimiento de dicha norma, además de su entrada en vigor una vez publicado.</w:t>
      </w:r>
      <w:r w:rsidR="3FB154E7" w:rsidRPr="4D733FB1">
        <w:rPr>
          <w:rFonts w:ascii="Calibri" w:eastAsia="Calibri" w:hAnsi="Calibri" w:cs="Calibri"/>
          <w:color w:val="000000" w:themeColor="text1"/>
        </w:rPr>
        <w:t xml:space="preserve"> En resumen, sus focos están en:</w:t>
      </w:r>
    </w:p>
    <w:p w14:paraId="4CA382FE" w14:textId="05093EC8" w:rsidR="3FB154E7" w:rsidRDefault="3FB154E7" w:rsidP="4D733FB1">
      <w:pPr>
        <w:pStyle w:val="Prrafodelista"/>
        <w:numPr>
          <w:ilvl w:val="0"/>
          <w:numId w:val="1"/>
        </w:numPr>
        <w:jc w:val="both"/>
        <w:rPr>
          <w:rFonts w:ascii="Calibri" w:hAnsi="Calibri" w:cs="Calibri"/>
        </w:rPr>
      </w:pPr>
      <w:r w:rsidRPr="4D733FB1">
        <w:rPr>
          <w:rFonts w:ascii="Calibri" w:hAnsi="Calibri" w:cs="Calibri"/>
        </w:rPr>
        <w:t xml:space="preserve">Estandarización y claridad: Cada pieza debe llevar una etiqueta clara y estandarizada que incluya el tipo de acero, dimensiones, y origen, asegurando información consistente y comprensible. </w:t>
      </w:r>
    </w:p>
    <w:p w14:paraId="163A0ED0" w14:textId="1AD9103A" w:rsidR="3FB154E7" w:rsidRDefault="3FB154E7" w:rsidP="4D733FB1">
      <w:pPr>
        <w:pStyle w:val="Prrafodelista"/>
        <w:numPr>
          <w:ilvl w:val="0"/>
          <w:numId w:val="1"/>
        </w:numPr>
        <w:jc w:val="both"/>
      </w:pPr>
      <w:r w:rsidRPr="4D733FB1">
        <w:rPr>
          <w:rFonts w:ascii="Calibri" w:hAnsi="Calibri" w:cs="Calibri"/>
        </w:rPr>
        <w:t xml:space="preserve">Información al consumidor: Busca informar a consumidores y actores de la industria sobre las características del producto para facilitar decisiones informadas y seguras. </w:t>
      </w:r>
    </w:p>
    <w:p w14:paraId="390A390C" w14:textId="3606119B" w:rsidR="3FB154E7" w:rsidRDefault="3FB154E7" w:rsidP="4D733FB1">
      <w:pPr>
        <w:pStyle w:val="Prrafodelista"/>
        <w:numPr>
          <w:ilvl w:val="0"/>
          <w:numId w:val="1"/>
        </w:numPr>
        <w:jc w:val="both"/>
      </w:pPr>
      <w:r w:rsidRPr="4D733FB1">
        <w:rPr>
          <w:rFonts w:ascii="Calibri" w:hAnsi="Calibri" w:cs="Calibri"/>
        </w:rPr>
        <w:t xml:space="preserve">Cumplimiento obligatorio: El cumplimiento de estos requisitos es obligatorio para todas las barras despachadas en bultos, garantizando transparencia y confianza en la comercialización. </w:t>
      </w:r>
    </w:p>
    <w:p w14:paraId="72D0DED9" w14:textId="0FF45B32" w:rsidR="3FB154E7" w:rsidRDefault="3FB154E7" w:rsidP="4D733FB1">
      <w:pPr>
        <w:pStyle w:val="Prrafodelista"/>
        <w:numPr>
          <w:ilvl w:val="0"/>
          <w:numId w:val="1"/>
        </w:numPr>
        <w:jc w:val="both"/>
      </w:pPr>
      <w:r w:rsidRPr="4D733FB1">
        <w:rPr>
          <w:rFonts w:ascii="Calibri" w:hAnsi="Calibri" w:cs="Calibri"/>
        </w:rPr>
        <w:t>Transparencia y colaboración: Promueve la transparencia en la cadena de suministro y fomenta la colaboración entre los participantes del mercado para mejorar la seguridad y eficiencia en las construcciones.</w:t>
      </w:r>
    </w:p>
    <w:p w14:paraId="6ED12811" w14:textId="0299C0E9" w:rsidR="4D733FB1" w:rsidRDefault="4D733FB1" w:rsidP="4D733FB1">
      <w:pPr>
        <w:jc w:val="both"/>
        <w:rPr>
          <w:rFonts w:ascii="Calibri" w:eastAsia="Calibri" w:hAnsi="Calibri" w:cs="Calibri"/>
          <w:color w:val="000000" w:themeColor="text1"/>
        </w:rPr>
      </w:pPr>
    </w:p>
    <w:p w14:paraId="6947952D" w14:textId="318B04DB" w:rsidR="00E65076" w:rsidRPr="00E65076" w:rsidRDefault="01B269C5" w:rsidP="00E65076">
      <w:pPr>
        <w:pStyle w:val="Prrafodelista"/>
        <w:numPr>
          <w:ilvl w:val="0"/>
          <w:numId w:val="3"/>
        </w:numPr>
        <w:jc w:val="both"/>
        <w:rPr>
          <w:rFonts w:ascii="Calibri" w:hAnsi="Calibri" w:cs="Calibri"/>
          <w:b/>
          <w:bCs/>
        </w:rPr>
      </w:pPr>
      <w:r w:rsidRPr="4D733FB1">
        <w:rPr>
          <w:rFonts w:ascii="Calibri" w:hAnsi="Calibri" w:cs="Calibri"/>
          <w:b/>
          <w:bCs/>
        </w:rPr>
        <w:t xml:space="preserve">Razones para someter el Reglamento Consulta Pública </w:t>
      </w:r>
    </w:p>
    <w:p w14:paraId="161B367F" w14:textId="3A0BEECC" w:rsidR="48C5DB12" w:rsidRDefault="48C5DB12" w:rsidP="4D733FB1">
      <w:pPr>
        <w:jc w:val="both"/>
        <w:rPr>
          <w:rFonts w:ascii="Calibri" w:hAnsi="Calibri" w:cs="Calibri"/>
        </w:rPr>
      </w:pPr>
      <w:r w:rsidRPr="4D733FB1">
        <w:rPr>
          <w:rFonts w:ascii="Calibri" w:hAnsi="Calibri" w:cs="Calibri"/>
        </w:rPr>
        <w:t xml:space="preserve">La </w:t>
      </w:r>
      <w:r w:rsidR="1259D70A" w:rsidRPr="4D733FB1">
        <w:rPr>
          <w:rFonts w:ascii="Calibri" w:hAnsi="Calibri" w:cs="Calibri"/>
        </w:rPr>
        <w:t>producción y comercialización</w:t>
      </w:r>
      <w:r w:rsidRPr="4D733FB1">
        <w:rPr>
          <w:rFonts w:ascii="Calibri" w:hAnsi="Calibri" w:cs="Calibri"/>
        </w:rPr>
        <w:t xml:space="preserve"> de acero en Chile </w:t>
      </w:r>
      <w:r w:rsidR="51305C2F" w:rsidRPr="4D733FB1">
        <w:rPr>
          <w:rFonts w:ascii="Calibri" w:hAnsi="Calibri" w:cs="Calibri"/>
        </w:rPr>
        <w:t>tiene altos índices de competitividad y relevancia para la industria</w:t>
      </w:r>
      <w:r w:rsidR="2B6D000E" w:rsidRPr="4D733FB1">
        <w:rPr>
          <w:rFonts w:ascii="Calibri" w:hAnsi="Calibri" w:cs="Calibri"/>
        </w:rPr>
        <w:t>. Con el objetivo de legitimar este documento se</w:t>
      </w:r>
      <w:r w:rsidR="0E66682B" w:rsidRPr="4D733FB1">
        <w:rPr>
          <w:rFonts w:ascii="Calibri" w:hAnsi="Calibri" w:cs="Calibri"/>
        </w:rPr>
        <w:t xml:space="preserve"> </w:t>
      </w:r>
      <w:r w:rsidR="4AB0CDEF" w:rsidRPr="4D733FB1">
        <w:rPr>
          <w:rFonts w:ascii="Calibri" w:hAnsi="Calibri" w:cs="Calibri"/>
        </w:rPr>
        <w:t xml:space="preserve">debe </w:t>
      </w:r>
      <w:r w:rsidR="1D0186F7" w:rsidRPr="4D733FB1">
        <w:rPr>
          <w:rFonts w:ascii="Calibri" w:hAnsi="Calibri" w:cs="Calibri"/>
        </w:rPr>
        <w:t>abrir el proceso de modificación para que los actores relevantes, como empresas, organizaciones de consumidores, expertos técnicos y la sociedad civil, pueden expresar sus opiniones y preocupaciones</w:t>
      </w:r>
      <w:r w:rsidR="37A6830B" w:rsidRPr="4D733FB1">
        <w:rPr>
          <w:rFonts w:ascii="Calibri" w:eastAsia="Calibri" w:hAnsi="Calibri" w:cs="Calibri"/>
        </w:rPr>
        <w:t xml:space="preserve"> para enriquecer el contenido del reglamento</w:t>
      </w:r>
      <w:r w:rsidR="1D0186F7" w:rsidRPr="4D733FB1">
        <w:rPr>
          <w:rFonts w:ascii="Calibri" w:hAnsi="Calibri" w:cs="Calibri"/>
        </w:rPr>
        <w:t>.</w:t>
      </w:r>
    </w:p>
    <w:p w14:paraId="2C9D38A6" w14:textId="20C6C0BB" w:rsidR="11C280A8" w:rsidRDefault="11C280A8" w:rsidP="4D733FB1">
      <w:pPr>
        <w:jc w:val="both"/>
        <w:rPr>
          <w:rFonts w:ascii="Calibri" w:hAnsi="Calibri" w:cs="Calibri"/>
        </w:rPr>
      </w:pPr>
      <w:r w:rsidRPr="4D733FB1">
        <w:rPr>
          <w:rFonts w:ascii="Calibri" w:hAnsi="Calibri" w:cs="Calibri"/>
        </w:rPr>
        <w:t xml:space="preserve">Por otro lado, </w:t>
      </w:r>
      <w:r w:rsidR="4DB576DB" w:rsidRPr="4D733FB1">
        <w:rPr>
          <w:rFonts w:ascii="Calibri" w:hAnsi="Calibri" w:cs="Calibri"/>
        </w:rPr>
        <w:t xml:space="preserve">es importante </w:t>
      </w:r>
      <w:r w:rsidR="3B811016" w:rsidRPr="4D733FB1">
        <w:rPr>
          <w:rFonts w:ascii="Calibri" w:hAnsi="Calibri" w:cs="Calibri"/>
        </w:rPr>
        <w:t>prevenir impactos negativos en la economía y el desarrollo nacional</w:t>
      </w:r>
      <w:r w:rsidR="4EE9B890" w:rsidRPr="4D733FB1">
        <w:rPr>
          <w:rFonts w:ascii="Calibri" w:hAnsi="Calibri" w:cs="Calibri"/>
        </w:rPr>
        <w:t>,</w:t>
      </w:r>
      <w:r w:rsidR="6DA51CB3" w:rsidRPr="4D733FB1">
        <w:rPr>
          <w:rFonts w:ascii="Calibri" w:hAnsi="Calibri" w:cs="Calibri"/>
        </w:rPr>
        <w:t xml:space="preserve"> u otros riesgos que puedan diagnosticar quienes están en terreno directamente en el mercado. Por último, </w:t>
      </w:r>
      <w:r w:rsidR="4EE9B890" w:rsidRPr="4D733FB1">
        <w:rPr>
          <w:rFonts w:ascii="Calibri" w:hAnsi="Calibri" w:cs="Calibri"/>
        </w:rPr>
        <w:t>est</w:t>
      </w:r>
      <w:r w:rsidR="230521DB" w:rsidRPr="4D733FB1">
        <w:rPr>
          <w:rFonts w:ascii="Calibri" w:hAnsi="Calibri" w:cs="Calibri"/>
        </w:rPr>
        <w:t>a consulta</w:t>
      </w:r>
      <w:r w:rsidR="4EE9B890" w:rsidRPr="4D733FB1">
        <w:rPr>
          <w:rFonts w:ascii="Calibri" w:hAnsi="Calibri" w:cs="Calibri"/>
        </w:rPr>
        <w:t xml:space="preserve"> facilitará su implementación </w:t>
      </w:r>
      <w:r w:rsidR="3059184D" w:rsidRPr="4D733FB1">
        <w:rPr>
          <w:rFonts w:ascii="Calibri" w:hAnsi="Calibri" w:cs="Calibri"/>
        </w:rPr>
        <w:t xml:space="preserve">dado que el reglamento se encontrará disponible previo a su </w:t>
      </w:r>
      <w:proofErr w:type="gramStart"/>
      <w:r w:rsidR="3059184D" w:rsidRPr="4D733FB1">
        <w:rPr>
          <w:rFonts w:ascii="Calibri" w:hAnsi="Calibri" w:cs="Calibri"/>
        </w:rPr>
        <w:t>entrada en vigencia</w:t>
      </w:r>
      <w:proofErr w:type="gramEnd"/>
      <w:r w:rsidR="3059184D" w:rsidRPr="4D733FB1">
        <w:rPr>
          <w:rFonts w:ascii="Calibri" w:hAnsi="Calibri" w:cs="Calibri"/>
        </w:rPr>
        <w:t xml:space="preserve"> para ser </w:t>
      </w:r>
      <w:r w:rsidR="4858E058" w:rsidRPr="4D733FB1">
        <w:rPr>
          <w:rFonts w:ascii="Calibri" w:hAnsi="Calibri" w:cs="Calibri"/>
        </w:rPr>
        <w:t>conocido y estudiado por quienes</w:t>
      </w:r>
      <w:r w:rsidRPr="4D733FB1">
        <w:rPr>
          <w:rFonts w:ascii="Calibri" w:hAnsi="Calibri" w:cs="Calibri"/>
        </w:rPr>
        <w:t xml:space="preserve"> </w:t>
      </w:r>
      <w:r w:rsidR="4D9D4BBB" w:rsidRPr="4D733FB1">
        <w:rPr>
          <w:rFonts w:ascii="Calibri" w:hAnsi="Calibri" w:cs="Calibri"/>
        </w:rPr>
        <w:t>se verán sujetos a él.</w:t>
      </w:r>
    </w:p>
    <w:p w14:paraId="13CBBBDB" w14:textId="01C07763" w:rsidR="005E4EC6" w:rsidRPr="00E65076" w:rsidRDefault="005E4EC6" w:rsidP="00E65076">
      <w:pPr>
        <w:pStyle w:val="Prrafodelista"/>
        <w:numPr>
          <w:ilvl w:val="0"/>
          <w:numId w:val="3"/>
        </w:numPr>
        <w:jc w:val="both"/>
        <w:rPr>
          <w:rFonts w:ascii="Calibri" w:hAnsi="Calibri" w:cs="Calibri"/>
          <w:b/>
          <w:bCs/>
        </w:rPr>
      </w:pPr>
      <w:r w:rsidRPr="00E65076">
        <w:rPr>
          <w:rFonts w:ascii="Calibri" w:hAnsi="Calibri" w:cs="Calibri"/>
          <w:b/>
          <w:bCs/>
        </w:rPr>
        <w:t xml:space="preserve">Consulta </w:t>
      </w:r>
    </w:p>
    <w:p w14:paraId="09F2704B" w14:textId="20AD370B" w:rsidR="005E4EC6" w:rsidRPr="005E4EC6" w:rsidRDefault="005E4EC6" w:rsidP="005E4EC6">
      <w:pPr>
        <w:jc w:val="both"/>
        <w:rPr>
          <w:rFonts w:ascii="Calibri" w:hAnsi="Calibri" w:cs="Calibri"/>
        </w:rPr>
      </w:pPr>
      <w:r w:rsidRPr="005E4EC6">
        <w:rPr>
          <w:rFonts w:ascii="Calibri" w:hAnsi="Calibri" w:cs="Calibri"/>
        </w:rPr>
        <w:t>¿Cuál es su opinión sobre la propuesta de Reglamento que Establece Requisitos de Rotulación</w:t>
      </w:r>
      <w:r>
        <w:rPr>
          <w:rFonts w:ascii="Calibri" w:hAnsi="Calibri" w:cs="Calibri"/>
        </w:rPr>
        <w:t xml:space="preserve"> del Acero para obras de Hormigón armado</w:t>
      </w:r>
      <w:r w:rsidRPr="005E4EC6">
        <w:rPr>
          <w:rFonts w:ascii="Calibri" w:hAnsi="Calibri" w:cs="Calibri"/>
        </w:rPr>
        <w:t xml:space="preserve">? </w:t>
      </w:r>
    </w:p>
    <w:p w14:paraId="4BA38B4A" w14:textId="34CA9569" w:rsidR="005811E1" w:rsidRPr="00A850D5" w:rsidRDefault="005E4EC6" w:rsidP="005E4EC6">
      <w:pPr>
        <w:jc w:val="both"/>
        <w:rPr>
          <w:rFonts w:ascii="Calibri" w:hAnsi="Calibri" w:cs="Calibri"/>
          <w:lang w:val="es-ES"/>
        </w:rPr>
      </w:pPr>
      <w:r w:rsidRPr="005E4EC6">
        <w:rPr>
          <w:rFonts w:ascii="Calibri" w:hAnsi="Calibri" w:cs="Calibri"/>
        </w:rPr>
        <w:t>Sus comentarios u observaciones deben presentarse en el formato dispuesto para estos efectos y puede ser relativo al texto considerado en su conjunto, o bien, a artículos en particular.</w:t>
      </w:r>
    </w:p>
    <w:sectPr w:rsidR="005811E1" w:rsidRPr="00A850D5">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3B187" w14:textId="77777777" w:rsidR="006145AD" w:rsidRDefault="006145AD" w:rsidP="00B43840">
      <w:pPr>
        <w:spacing w:after="0" w:line="240" w:lineRule="auto"/>
      </w:pPr>
      <w:r>
        <w:separator/>
      </w:r>
    </w:p>
  </w:endnote>
  <w:endnote w:type="continuationSeparator" w:id="0">
    <w:p w14:paraId="36B6355E" w14:textId="77777777" w:rsidR="006145AD" w:rsidRDefault="006145AD" w:rsidP="00B4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C5D9E" w14:textId="77777777" w:rsidR="006145AD" w:rsidRDefault="006145AD" w:rsidP="00B43840">
      <w:pPr>
        <w:spacing w:after="0" w:line="240" w:lineRule="auto"/>
      </w:pPr>
      <w:r>
        <w:separator/>
      </w:r>
    </w:p>
  </w:footnote>
  <w:footnote w:type="continuationSeparator" w:id="0">
    <w:p w14:paraId="49A1F21E" w14:textId="77777777" w:rsidR="006145AD" w:rsidRDefault="006145AD" w:rsidP="00B4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A83B" w14:textId="192027A3" w:rsidR="00B43840" w:rsidRDefault="00B43840">
    <w:pPr>
      <w:pStyle w:val="Encabezado"/>
      <w:rPr>
        <w:lang w:val="es-ES"/>
      </w:rPr>
    </w:pPr>
    <w:r>
      <w:rPr>
        <w:lang w:val="es-ES"/>
      </w:rPr>
      <w:t>Ministerio de Economía, Fomento y Turismo</w:t>
    </w:r>
  </w:p>
  <w:p w14:paraId="0A1FFA78" w14:textId="19A71214" w:rsidR="00B43840" w:rsidRPr="00B43840" w:rsidRDefault="00B43840">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5E0F"/>
    <w:multiLevelType w:val="hybridMultilevel"/>
    <w:tmpl w:val="3B709864"/>
    <w:lvl w:ilvl="0" w:tplc="9BDA620E">
      <w:start w:val="1"/>
      <w:numFmt w:val="decimal"/>
      <w:lvlText w:val="%1."/>
      <w:lvlJc w:val="left"/>
      <w:pPr>
        <w:ind w:left="720" w:hanging="360"/>
      </w:pPr>
    </w:lvl>
    <w:lvl w:ilvl="1" w:tplc="0D68B958">
      <w:start w:val="1"/>
      <w:numFmt w:val="lowerLetter"/>
      <w:lvlText w:val="%2."/>
      <w:lvlJc w:val="left"/>
      <w:pPr>
        <w:ind w:left="1440" w:hanging="360"/>
      </w:pPr>
    </w:lvl>
    <w:lvl w:ilvl="2" w:tplc="EEF24994">
      <w:start w:val="1"/>
      <w:numFmt w:val="lowerRoman"/>
      <w:lvlText w:val="%3."/>
      <w:lvlJc w:val="right"/>
      <w:pPr>
        <w:ind w:left="2160" w:hanging="180"/>
      </w:pPr>
    </w:lvl>
    <w:lvl w:ilvl="3" w:tplc="0A6C1E32">
      <w:start w:val="1"/>
      <w:numFmt w:val="decimal"/>
      <w:lvlText w:val="%4."/>
      <w:lvlJc w:val="left"/>
      <w:pPr>
        <w:ind w:left="2880" w:hanging="360"/>
      </w:pPr>
    </w:lvl>
    <w:lvl w:ilvl="4" w:tplc="CFDCD59E">
      <w:start w:val="1"/>
      <w:numFmt w:val="lowerLetter"/>
      <w:lvlText w:val="%5."/>
      <w:lvlJc w:val="left"/>
      <w:pPr>
        <w:ind w:left="3600" w:hanging="360"/>
      </w:pPr>
    </w:lvl>
    <w:lvl w:ilvl="5" w:tplc="9DA66A74">
      <w:start w:val="1"/>
      <w:numFmt w:val="lowerRoman"/>
      <w:lvlText w:val="%6."/>
      <w:lvlJc w:val="right"/>
      <w:pPr>
        <w:ind w:left="4320" w:hanging="180"/>
      </w:pPr>
    </w:lvl>
    <w:lvl w:ilvl="6" w:tplc="5ADC2C9A">
      <w:start w:val="1"/>
      <w:numFmt w:val="decimal"/>
      <w:lvlText w:val="%7."/>
      <w:lvlJc w:val="left"/>
      <w:pPr>
        <w:ind w:left="5040" w:hanging="360"/>
      </w:pPr>
    </w:lvl>
    <w:lvl w:ilvl="7" w:tplc="70D88CFC">
      <w:start w:val="1"/>
      <w:numFmt w:val="lowerLetter"/>
      <w:lvlText w:val="%8."/>
      <w:lvlJc w:val="left"/>
      <w:pPr>
        <w:ind w:left="5760" w:hanging="360"/>
      </w:pPr>
    </w:lvl>
    <w:lvl w:ilvl="8" w:tplc="2A880F6C">
      <w:start w:val="1"/>
      <w:numFmt w:val="lowerRoman"/>
      <w:lvlText w:val="%9."/>
      <w:lvlJc w:val="right"/>
      <w:pPr>
        <w:ind w:left="6480" w:hanging="180"/>
      </w:pPr>
    </w:lvl>
  </w:abstractNum>
  <w:abstractNum w:abstractNumId="1" w15:restartNumberingAfterBreak="0">
    <w:nsid w:val="2CB96305"/>
    <w:multiLevelType w:val="hybridMultilevel"/>
    <w:tmpl w:val="7C4AB1D0"/>
    <w:lvl w:ilvl="0" w:tplc="537E9EF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36D61F9"/>
    <w:multiLevelType w:val="hybridMultilevel"/>
    <w:tmpl w:val="C45C843C"/>
    <w:lvl w:ilvl="0" w:tplc="BEFAF404">
      <w:start w:val="4"/>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21703732">
    <w:abstractNumId w:val="0"/>
  </w:num>
  <w:num w:numId="2" w16cid:durableId="1520850480">
    <w:abstractNumId w:val="1"/>
  </w:num>
  <w:num w:numId="3" w16cid:durableId="6430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98"/>
    <w:rsid w:val="000A0F98"/>
    <w:rsid w:val="000C4320"/>
    <w:rsid w:val="000F57FD"/>
    <w:rsid w:val="00141AD8"/>
    <w:rsid w:val="0019537C"/>
    <w:rsid w:val="002505C8"/>
    <w:rsid w:val="0026689E"/>
    <w:rsid w:val="00276DC2"/>
    <w:rsid w:val="00357BFE"/>
    <w:rsid w:val="003E0FAF"/>
    <w:rsid w:val="00411BFC"/>
    <w:rsid w:val="0041305D"/>
    <w:rsid w:val="00527ED7"/>
    <w:rsid w:val="005811E1"/>
    <w:rsid w:val="005E4EC6"/>
    <w:rsid w:val="006145AD"/>
    <w:rsid w:val="006A386D"/>
    <w:rsid w:val="006E39A1"/>
    <w:rsid w:val="00803173"/>
    <w:rsid w:val="008C6497"/>
    <w:rsid w:val="00A57707"/>
    <w:rsid w:val="00A850D5"/>
    <w:rsid w:val="00AE308E"/>
    <w:rsid w:val="00B05FDB"/>
    <w:rsid w:val="00B43840"/>
    <w:rsid w:val="00B64896"/>
    <w:rsid w:val="00BE5B58"/>
    <w:rsid w:val="00BF2609"/>
    <w:rsid w:val="00BF7C1F"/>
    <w:rsid w:val="00C612B4"/>
    <w:rsid w:val="00C95F55"/>
    <w:rsid w:val="00CF0EF9"/>
    <w:rsid w:val="00D44F8B"/>
    <w:rsid w:val="00D9342C"/>
    <w:rsid w:val="00DF717C"/>
    <w:rsid w:val="00E07DCC"/>
    <w:rsid w:val="00E35BDC"/>
    <w:rsid w:val="00E5512D"/>
    <w:rsid w:val="00E65076"/>
    <w:rsid w:val="00E65AAA"/>
    <w:rsid w:val="00F22EB2"/>
    <w:rsid w:val="00FA4D7E"/>
    <w:rsid w:val="018E4AFC"/>
    <w:rsid w:val="01B269C5"/>
    <w:rsid w:val="083A78E8"/>
    <w:rsid w:val="0BA4E171"/>
    <w:rsid w:val="0C1D961F"/>
    <w:rsid w:val="0D93CD20"/>
    <w:rsid w:val="0E66682B"/>
    <w:rsid w:val="11C280A8"/>
    <w:rsid w:val="1259D70A"/>
    <w:rsid w:val="14C2A1E6"/>
    <w:rsid w:val="1B81D0D8"/>
    <w:rsid w:val="1D0186F7"/>
    <w:rsid w:val="1D655328"/>
    <w:rsid w:val="1EE6EA18"/>
    <w:rsid w:val="1FD057A1"/>
    <w:rsid w:val="20F9751C"/>
    <w:rsid w:val="21A4EFAE"/>
    <w:rsid w:val="226DAB3F"/>
    <w:rsid w:val="230521DB"/>
    <w:rsid w:val="269577D2"/>
    <w:rsid w:val="2917AD18"/>
    <w:rsid w:val="2A58D336"/>
    <w:rsid w:val="2B2F3F26"/>
    <w:rsid w:val="2B6D000E"/>
    <w:rsid w:val="2EF91200"/>
    <w:rsid w:val="30141E8F"/>
    <w:rsid w:val="30294874"/>
    <w:rsid w:val="3059184D"/>
    <w:rsid w:val="31B432EE"/>
    <w:rsid w:val="35125ADA"/>
    <w:rsid w:val="37A6830B"/>
    <w:rsid w:val="382F3847"/>
    <w:rsid w:val="3A2CD0B7"/>
    <w:rsid w:val="3B811016"/>
    <w:rsid w:val="3B9DD0EC"/>
    <w:rsid w:val="3DE2F72D"/>
    <w:rsid w:val="3FB154E7"/>
    <w:rsid w:val="44D0C5A2"/>
    <w:rsid w:val="46F59BC0"/>
    <w:rsid w:val="4858E058"/>
    <w:rsid w:val="48C5DB12"/>
    <w:rsid w:val="4A1F269D"/>
    <w:rsid w:val="4AB0CDEF"/>
    <w:rsid w:val="4CFD05E1"/>
    <w:rsid w:val="4D733FB1"/>
    <w:rsid w:val="4D9D4BBB"/>
    <w:rsid w:val="4DB576DB"/>
    <w:rsid w:val="4DDC54D4"/>
    <w:rsid w:val="4EE9B890"/>
    <w:rsid w:val="50A5AB45"/>
    <w:rsid w:val="51305C2F"/>
    <w:rsid w:val="575C5530"/>
    <w:rsid w:val="5A528108"/>
    <w:rsid w:val="5BC393A7"/>
    <w:rsid w:val="5E920C59"/>
    <w:rsid w:val="5E9E44A6"/>
    <w:rsid w:val="5FCD4681"/>
    <w:rsid w:val="61E30C81"/>
    <w:rsid w:val="6605C9F5"/>
    <w:rsid w:val="66314B28"/>
    <w:rsid w:val="6A884070"/>
    <w:rsid w:val="6C507123"/>
    <w:rsid w:val="6DA51CB3"/>
    <w:rsid w:val="6E12A01E"/>
    <w:rsid w:val="70F3E3D6"/>
    <w:rsid w:val="74820BDE"/>
    <w:rsid w:val="792B01AA"/>
    <w:rsid w:val="7A14495C"/>
    <w:rsid w:val="7AFD4D35"/>
    <w:rsid w:val="7C27E39F"/>
    <w:rsid w:val="7C4ABE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FFE1"/>
  <w15:chartTrackingRefBased/>
  <w15:docId w15:val="{5DF2FF3A-E872-4014-B5EA-4D0B2ECB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0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0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0F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0F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0F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0F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0F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0F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0F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0F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0F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0F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0F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0F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0F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0F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0F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0F98"/>
    <w:rPr>
      <w:rFonts w:eastAsiaTheme="majorEastAsia" w:cstheme="majorBidi"/>
      <w:color w:val="272727" w:themeColor="text1" w:themeTint="D8"/>
    </w:rPr>
  </w:style>
  <w:style w:type="paragraph" w:styleId="Ttulo">
    <w:name w:val="Title"/>
    <w:basedOn w:val="Normal"/>
    <w:next w:val="Normal"/>
    <w:link w:val="TtuloCar"/>
    <w:uiPriority w:val="10"/>
    <w:qFormat/>
    <w:rsid w:val="000A0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0F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0F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0F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0F98"/>
    <w:pPr>
      <w:spacing w:before="160"/>
      <w:jc w:val="center"/>
    </w:pPr>
    <w:rPr>
      <w:i/>
      <w:iCs/>
      <w:color w:val="404040" w:themeColor="text1" w:themeTint="BF"/>
    </w:rPr>
  </w:style>
  <w:style w:type="character" w:customStyle="1" w:styleId="CitaCar">
    <w:name w:val="Cita Car"/>
    <w:basedOn w:val="Fuentedeprrafopredeter"/>
    <w:link w:val="Cita"/>
    <w:uiPriority w:val="29"/>
    <w:rsid w:val="000A0F98"/>
    <w:rPr>
      <w:i/>
      <w:iCs/>
      <w:color w:val="404040" w:themeColor="text1" w:themeTint="BF"/>
    </w:rPr>
  </w:style>
  <w:style w:type="paragraph" w:styleId="Prrafodelista">
    <w:name w:val="List Paragraph"/>
    <w:basedOn w:val="Normal"/>
    <w:uiPriority w:val="34"/>
    <w:qFormat/>
    <w:rsid w:val="000A0F98"/>
    <w:pPr>
      <w:ind w:left="720"/>
      <w:contextualSpacing/>
    </w:pPr>
  </w:style>
  <w:style w:type="character" w:styleId="nfasisintenso">
    <w:name w:val="Intense Emphasis"/>
    <w:basedOn w:val="Fuentedeprrafopredeter"/>
    <w:uiPriority w:val="21"/>
    <w:qFormat/>
    <w:rsid w:val="000A0F98"/>
    <w:rPr>
      <w:i/>
      <w:iCs/>
      <w:color w:val="0F4761" w:themeColor="accent1" w:themeShade="BF"/>
    </w:rPr>
  </w:style>
  <w:style w:type="paragraph" w:styleId="Citadestacada">
    <w:name w:val="Intense Quote"/>
    <w:basedOn w:val="Normal"/>
    <w:next w:val="Normal"/>
    <w:link w:val="CitadestacadaCar"/>
    <w:uiPriority w:val="30"/>
    <w:qFormat/>
    <w:rsid w:val="000A0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0F98"/>
    <w:rPr>
      <w:i/>
      <w:iCs/>
      <w:color w:val="0F4761" w:themeColor="accent1" w:themeShade="BF"/>
    </w:rPr>
  </w:style>
  <w:style w:type="character" w:styleId="Referenciaintensa">
    <w:name w:val="Intense Reference"/>
    <w:basedOn w:val="Fuentedeprrafopredeter"/>
    <w:uiPriority w:val="32"/>
    <w:qFormat/>
    <w:rsid w:val="000A0F98"/>
    <w:rPr>
      <w:b/>
      <w:bCs/>
      <w:smallCaps/>
      <w:color w:val="0F4761" w:themeColor="accent1" w:themeShade="BF"/>
      <w:spacing w:val="5"/>
    </w:rPr>
  </w:style>
  <w:style w:type="paragraph" w:styleId="Encabezado">
    <w:name w:val="header"/>
    <w:basedOn w:val="Normal"/>
    <w:link w:val="EncabezadoCar"/>
    <w:uiPriority w:val="99"/>
    <w:unhideWhenUsed/>
    <w:rsid w:val="00B438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840"/>
  </w:style>
  <w:style w:type="paragraph" w:styleId="Piedepgina">
    <w:name w:val="footer"/>
    <w:basedOn w:val="Normal"/>
    <w:link w:val="PiedepginaCar"/>
    <w:uiPriority w:val="99"/>
    <w:unhideWhenUsed/>
    <w:rsid w:val="00B438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840"/>
  </w:style>
  <w:style w:type="paragraph" w:customStyle="1" w:styleId="paragraph">
    <w:name w:val="paragraph"/>
    <w:basedOn w:val="Normal"/>
    <w:rsid w:val="00A850D5"/>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normaltextrun">
    <w:name w:val="normaltextrun"/>
    <w:basedOn w:val="Fuentedeprrafopredeter"/>
    <w:rsid w:val="00A850D5"/>
  </w:style>
  <w:style w:type="character" w:customStyle="1" w:styleId="eop">
    <w:name w:val="eop"/>
    <w:basedOn w:val="Fuentedeprrafopredeter"/>
    <w:rsid w:val="00A850D5"/>
  </w:style>
  <w:style w:type="character" w:customStyle="1" w:styleId="wacimagecontainer">
    <w:name w:val="wacimagecontainer"/>
    <w:basedOn w:val="Fuentedeprrafopredeter"/>
    <w:rsid w:val="00A850D5"/>
  </w:style>
  <w:style w:type="paragraph" w:customStyle="1" w:styleId="Default">
    <w:name w:val="Default"/>
    <w:rsid w:val="00E6507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961206">
      <w:bodyDiv w:val="1"/>
      <w:marLeft w:val="0"/>
      <w:marRight w:val="0"/>
      <w:marTop w:val="0"/>
      <w:marBottom w:val="0"/>
      <w:divBdr>
        <w:top w:val="none" w:sz="0" w:space="0" w:color="auto"/>
        <w:left w:val="none" w:sz="0" w:space="0" w:color="auto"/>
        <w:bottom w:val="none" w:sz="0" w:space="0" w:color="auto"/>
        <w:right w:val="none" w:sz="0" w:space="0" w:color="auto"/>
      </w:divBdr>
      <w:divsChild>
        <w:div w:id="1090351111">
          <w:marLeft w:val="0"/>
          <w:marRight w:val="0"/>
          <w:marTop w:val="0"/>
          <w:marBottom w:val="0"/>
          <w:divBdr>
            <w:top w:val="none" w:sz="0" w:space="0" w:color="auto"/>
            <w:left w:val="none" w:sz="0" w:space="0" w:color="auto"/>
            <w:bottom w:val="none" w:sz="0" w:space="0" w:color="auto"/>
            <w:right w:val="none" w:sz="0" w:space="0" w:color="auto"/>
          </w:divBdr>
        </w:div>
        <w:div w:id="1806727934">
          <w:marLeft w:val="0"/>
          <w:marRight w:val="0"/>
          <w:marTop w:val="0"/>
          <w:marBottom w:val="0"/>
          <w:divBdr>
            <w:top w:val="none" w:sz="0" w:space="0" w:color="auto"/>
            <w:left w:val="none" w:sz="0" w:space="0" w:color="auto"/>
            <w:bottom w:val="none" w:sz="0" w:space="0" w:color="auto"/>
            <w:right w:val="none" w:sz="0" w:space="0" w:color="auto"/>
          </w:divBdr>
        </w:div>
        <w:div w:id="265968042">
          <w:marLeft w:val="0"/>
          <w:marRight w:val="0"/>
          <w:marTop w:val="0"/>
          <w:marBottom w:val="0"/>
          <w:divBdr>
            <w:top w:val="none" w:sz="0" w:space="0" w:color="auto"/>
            <w:left w:val="none" w:sz="0" w:space="0" w:color="auto"/>
            <w:bottom w:val="none" w:sz="0" w:space="0" w:color="auto"/>
            <w:right w:val="none" w:sz="0" w:space="0" w:color="auto"/>
          </w:divBdr>
        </w:div>
        <w:div w:id="1941715389">
          <w:marLeft w:val="0"/>
          <w:marRight w:val="0"/>
          <w:marTop w:val="0"/>
          <w:marBottom w:val="0"/>
          <w:divBdr>
            <w:top w:val="none" w:sz="0" w:space="0" w:color="auto"/>
            <w:left w:val="none" w:sz="0" w:space="0" w:color="auto"/>
            <w:bottom w:val="none" w:sz="0" w:space="0" w:color="auto"/>
            <w:right w:val="none" w:sz="0" w:space="0" w:color="auto"/>
          </w:divBdr>
        </w:div>
        <w:div w:id="280888157">
          <w:marLeft w:val="0"/>
          <w:marRight w:val="0"/>
          <w:marTop w:val="0"/>
          <w:marBottom w:val="0"/>
          <w:divBdr>
            <w:top w:val="none" w:sz="0" w:space="0" w:color="auto"/>
            <w:left w:val="none" w:sz="0" w:space="0" w:color="auto"/>
            <w:bottom w:val="none" w:sz="0" w:space="0" w:color="auto"/>
            <w:right w:val="none" w:sz="0" w:space="0" w:color="auto"/>
          </w:divBdr>
        </w:div>
        <w:div w:id="209316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14bd97-e52f-4728-af64-e60b0c6e0a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D9DAE66CD3936428C75C935AF989A0C" ma:contentTypeVersion="17" ma:contentTypeDescription="Crear nuevo documento." ma:contentTypeScope="" ma:versionID="8d6ac9bd8dcc29adf86d792426f3842e">
  <xsd:schema xmlns:xsd="http://www.w3.org/2001/XMLSchema" xmlns:xs="http://www.w3.org/2001/XMLSchema" xmlns:p="http://schemas.microsoft.com/office/2006/metadata/properties" xmlns:ns3="c43a629b-a527-4f9b-8832-1e935fa72504" xmlns:ns4="5e14bd97-e52f-4728-af64-e60b0c6e0ae4" targetNamespace="http://schemas.microsoft.com/office/2006/metadata/properties" ma:root="true" ma:fieldsID="3b376d6d4862e1293cbee9289f87b025" ns3:_="" ns4:_="">
    <xsd:import namespace="c43a629b-a527-4f9b-8832-1e935fa72504"/>
    <xsd:import namespace="5e14bd97-e52f-4728-af64-e60b0c6e0a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a629b-a527-4f9b-8832-1e935fa7250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4bd97-e52f-4728-af64-e60b0c6e0a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FDCBE-4D3C-44B6-9CB3-FE50DFFCC717}">
  <ds:schemaRefs>
    <ds:schemaRef ds:uri="http://schemas.microsoft.com/office/2006/metadata/properties"/>
    <ds:schemaRef ds:uri="http://schemas.microsoft.com/office/infopath/2007/PartnerControls"/>
    <ds:schemaRef ds:uri="5e14bd97-e52f-4728-af64-e60b0c6e0ae4"/>
  </ds:schemaRefs>
</ds:datastoreItem>
</file>

<file path=customXml/itemProps2.xml><?xml version="1.0" encoding="utf-8"?>
<ds:datastoreItem xmlns:ds="http://schemas.openxmlformats.org/officeDocument/2006/customXml" ds:itemID="{C02742FF-66AC-44FD-A44D-B0DC5D1A8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a629b-a527-4f9b-8832-1e935fa72504"/>
    <ds:schemaRef ds:uri="5e14bd97-e52f-4728-af64-e60b0c6e0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D97EA-143C-4F35-8C7F-E53DB37F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5723</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Paz Barriga Alarcón</dc:creator>
  <cp:keywords/>
  <dc:description/>
  <cp:lastModifiedBy>José Ignacio Dinamarca</cp:lastModifiedBy>
  <cp:revision>5</cp:revision>
  <dcterms:created xsi:type="dcterms:W3CDTF">2024-07-24T01:17:00Z</dcterms:created>
  <dcterms:modified xsi:type="dcterms:W3CDTF">2024-08-07T13:20:00Z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0x0101000D9DAE66CD3936428C75C935AF989A0C</vt:lpwstr>
  </property>
</Properties>
</file>