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3508" w14:textId="77777777" w:rsidR="00C739F6" w:rsidRPr="0067708C" w:rsidRDefault="00C739F6" w:rsidP="001E767F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67708C">
        <w:rPr>
          <w:b/>
          <w:bCs/>
          <w:sz w:val="32"/>
          <w:szCs w:val="32"/>
        </w:rPr>
        <w:t>Reglamento sobre Información al Consumidor de Créditos Hipotecarios</w:t>
      </w:r>
    </w:p>
    <w:p w14:paraId="1B1D564A" w14:textId="00A7F916" w:rsidR="00C739F6" w:rsidRPr="00F420FD" w:rsidRDefault="00C739F6" w:rsidP="00C739F6">
      <w:pPr>
        <w:jc w:val="right"/>
      </w:pPr>
      <w:r w:rsidRPr="0067708C">
        <w:t xml:space="preserve">Santiago de Chile, </w:t>
      </w:r>
      <w:r w:rsidR="00045247">
        <w:t>mayo</w:t>
      </w:r>
      <w:r w:rsidR="0083453D" w:rsidRPr="0067708C">
        <w:t xml:space="preserve"> </w:t>
      </w:r>
      <w:r w:rsidRPr="0067708C">
        <w:t>2023.</w:t>
      </w:r>
    </w:p>
    <w:p w14:paraId="4F841B51" w14:textId="77777777" w:rsidR="00C739F6" w:rsidRPr="00F420FD" w:rsidRDefault="00C739F6" w:rsidP="00C739F6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420FD">
        <w:rPr>
          <w:b/>
          <w:bCs/>
          <w:sz w:val="24"/>
          <w:szCs w:val="24"/>
        </w:rPr>
        <w:t>Resumen</w:t>
      </w:r>
    </w:p>
    <w:p w14:paraId="54702D21" w14:textId="3F8A5FB7" w:rsidR="00B5297B" w:rsidRPr="00F420FD" w:rsidRDefault="002E32A0" w:rsidP="00C739F6">
      <w:pPr>
        <w:jc w:val="both"/>
      </w:pPr>
      <w:r w:rsidRPr="00F420FD">
        <w:t>El</w:t>
      </w:r>
      <w:r w:rsidR="00C739F6" w:rsidRPr="00F420FD">
        <w:t xml:space="preserve"> Reglamento sobre Información al Consumidor de Créditos Hipotecarios</w:t>
      </w:r>
      <w:r w:rsidRPr="00F420FD">
        <w:t xml:space="preserve"> (en adelante, el “Reglamento”)</w:t>
      </w:r>
      <w:r w:rsidR="00C739F6" w:rsidRPr="00F420FD">
        <w:t>, busca mejorar la comprensión de la información financiera por parte de los consumidores y prom</w:t>
      </w:r>
      <w:r w:rsidR="00B5297B" w:rsidRPr="00F420FD">
        <w:t>over</w:t>
      </w:r>
      <w:r w:rsidR="00C739F6" w:rsidRPr="00F420FD">
        <w:t xml:space="preserve"> la comparación de productos ofrecidos por las instituciones financieras. </w:t>
      </w:r>
      <w:r w:rsidRPr="00F420FD">
        <w:t xml:space="preserve">La propuesta de </w:t>
      </w:r>
      <w:r w:rsidR="00B37AF7" w:rsidRPr="00F420FD">
        <w:t xml:space="preserve">Reglamento fue sometida a consulta pública </w:t>
      </w:r>
      <w:r w:rsidR="003A46CB">
        <w:t>en</w:t>
      </w:r>
      <w:r w:rsidR="00B37AF7" w:rsidRPr="00F420FD">
        <w:t xml:space="preserve"> febrero del año 2022</w:t>
      </w:r>
      <w:r w:rsidR="00114F02" w:rsidRPr="00F420FD">
        <w:t xml:space="preserve"> (en adelante, la “Consulta Pública”)</w:t>
      </w:r>
      <w:r w:rsidR="00325F6D" w:rsidRPr="00F420FD">
        <w:t xml:space="preserve"> y se </w:t>
      </w:r>
      <w:r w:rsidR="00886976" w:rsidRPr="00F420FD">
        <w:t>acogieron numerosas propuestas ahí recabadas</w:t>
      </w:r>
      <w:r w:rsidR="00212854" w:rsidRPr="00F420FD">
        <w:rPr>
          <w:rStyle w:val="Refdenotaalpie"/>
        </w:rPr>
        <w:footnoteReference w:id="2"/>
      </w:r>
      <w:r w:rsidR="00886976" w:rsidRPr="00F420FD">
        <w:t>.</w:t>
      </w:r>
    </w:p>
    <w:p w14:paraId="1A18C260" w14:textId="757FC2E9" w:rsidR="00C739F6" w:rsidRPr="00F420FD" w:rsidRDefault="00E84340" w:rsidP="00C739F6">
      <w:pPr>
        <w:jc w:val="both"/>
      </w:pPr>
      <w:r w:rsidRPr="00F420FD">
        <w:t xml:space="preserve">La propuesta </w:t>
      </w:r>
      <w:r w:rsidR="0091568E" w:rsidRPr="00F420FD">
        <w:t>de Reglamento</w:t>
      </w:r>
      <w:r w:rsidRPr="00F420FD">
        <w:t xml:space="preserve"> se realizó a</w:t>
      </w:r>
      <w:r w:rsidR="00C739F6" w:rsidRPr="00F420FD">
        <w:t xml:space="preserve"> partir de estudios empíricos y una recopilación de evidencia internacional, </w:t>
      </w:r>
      <w:r w:rsidR="00114F02" w:rsidRPr="00F420FD">
        <w:t xml:space="preserve">modificando </w:t>
      </w:r>
      <w:r w:rsidR="00552467" w:rsidRPr="00F420FD">
        <w:t>e</w:t>
      </w:r>
      <w:r w:rsidR="00C739F6" w:rsidRPr="00F420FD">
        <w:t xml:space="preserve">l contenido y formato de las distintas hojas y cartillas informativas que las instituciones financieras entregan al consumidor de créditos hipotecarios. </w:t>
      </w:r>
    </w:p>
    <w:p w14:paraId="624ABF37" w14:textId="23DC9559" w:rsidR="008E4549" w:rsidRPr="00F420FD" w:rsidRDefault="00114F02" w:rsidP="00C739F6">
      <w:pPr>
        <w:jc w:val="both"/>
      </w:pPr>
      <w:r w:rsidRPr="00F420FD">
        <w:t>Sin perjuicio de la Consulta Pública</w:t>
      </w:r>
      <w:r w:rsidR="007F0AA2" w:rsidRPr="00F420FD">
        <w:t xml:space="preserve"> ya realizada</w:t>
      </w:r>
      <w:r w:rsidR="00C739F6" w:rsidRPr="00F420FD">
        <w:t xml:space="preserve">, </w:t>
      </w:r>
      <w:r w:rsidR="00B0054C" w:rsidRPr="00F420FD">
        <w:t>la propuesta de Reglamento</w:t>
      </w:r>
      <w:r w:rsidR="00421B79" w:rsidRPr="00F420FD">
        <w:t xml:space="preserve"> sufrió modificaciones relevantes que ameritan </w:t>
      </w:r>
      <w:r w:rsidR="00CC5F74" w:rsidRPr="00F420FD">
        <w:t>ser consultadas nuevamente</w:t>
      </w:r>
      <w:r w:rsidR="00C53710" w:rsidRPr="00F420FD">
        <w:t>. Específicamente, se incorporó la denominada “tasa de referencia</w:t>
      </w:r>
      <w:r w:rsidR="00B0054C" w:rsidRPr="00F420FD">
        <w:t xml:space="preserve"> de</w:t>
      </w:r>
      <w:r w:rsidR="005463CC">
        <w:t>l</w:t>
      </w:r>
      <w:r w:rsidR="00B0054C" w:rsidRPr="00F420FD">
        <w:t xml:space="preserve"> mercado</w:t>
      </w:r>
      <w:r w:rsidR="00C53710" w:rsidRPr="00F420FD">
        <w:t>”</w:t>
      </w:r>
      <w:r w:rsidR="00D46314" w:rsidRPr="00F420FD">
        <w:t xml:space="preserve"> en la</w:t>
      </w:r>
      <w:r w:rsidR="0099782F" w:rsidRPr="00F420FD">
        <w:t xml:space="preserve"> </w:t>
      </w:r>
      <w:r w:rsidR="00186EE9" w:rsidRPr="00F420FD">
        <w:t>Hoja Resumen de Cotización</w:t>
      </w:r>
      <w:r w:rsidR="0099782F" w:rsidRPr="00F420FD">
        <w:t xml:space="preserve"> y </w:t>
      </w:r>
      <w:r w:rsidR="00186EE9" w:rsidRPr="00F420FD">
        <w:t>C</w:t>
      </w:r>
      <w:r w:rsidR="00D46314" w:rsidRPr="00F420FD">
        <w:t xml:space="preserve">artola </w:t>
      </w:r>
      <w:r w:rsidR="00186EE9" w:rsidRPr="00F420FD">
        <w:t>T</w:t>
      </w:r>
      <w:r w:rsidR="00D46314" w:rsidRPr="00F420FD">
        <w:t>rimestral</w:t>
      </w:r>
      <w:r w:rsidR="002433F1" w:rsidRPr="00F420FD">
        <w:t>,</w:t>
      </w:r>
      <w:r w:rsidR="00F463BE" w:rsidRPr="00F420FD">
        <w:t xml:space="preserve"> </w:t>
      </w:r>
      <w:r w:rsidR="003A46CB">
        <w:t>el cual</w:t>
      </w:r>
      <w:r w:rsidR="00F463BE" w:rsidRPr="00F420FD">
        <w:t xml:space="preserve"> consiste en un parámetro de comparación con créditos similares de otras entidades financieras </w:t>
      </w:r>
      <w:r w:rsidR="003A46CB">
        <w:t>que</w:t>
      </w:r>
      <w:r w:rsidR="002A287A" w:rsidRPr="00F420FD">
        <w:t xml:space="preserve"> busca promover la comparación y cotización.</w:t>
      </w:r>
    </w:p>
    <w:p w14:paraId="08536183" w14:textId="77777777" w:rsidR="00C739F6" w:rsidRPr="00F420FD" w:rsidRDefault="00C739F6" w:rsidP="00C739F6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420FD">
        <w:rPr>
          <w:b/>
          <w:bCs/>
          <w:sz w:val="24"/>
          <w:szCs w:val="24"/>
        </w:rPr>
        <w:t>Antecedentes</w:t>
      </w:r>
    </w:p>
    <w:p w14:paraId="01D08BD0" w14:textId="446E4DD0" w:rsidR="00C739F6" w:rsidRPr="00F420FD" w:rsidRDefault="00C739F6" w:rsidP="00C739F6">
      <w:pPr>
        <w:jc w:val="both"/>
      </w:pPr>
      <w:r w:rsidRPr="00F420FD">
        <w:t xml:space="preserve">En julio de 2012 </w:t>
      </w:r>
      <w:r w:rsidR="00782A58" w:rsidRPr="00F420FD">
        <w:t>se publicó</w:t>
      </w:r>
      <w:r w:rsidRPr="00F420FD">
        <w:t xml:space="preserve"> en el Diario Oficial el Decreto </w:t>
      </w:r>
      <w:proofErr w:type="spellStart"/>
      <w:r w:rsidRPr="00F420FD">
        <w:t>N°</w:t>
      </w:r>
      <w:proofErr w:type="spellEnd"/>
      <w:r w:rsidRPr="00F420FD">
        <w:t xml:space="preserve"> 42 del Ministerio de Economía, Fomento y Turismo, que </w:t>
      </w:r>
      <w:r w:rsidR="00112EAC" w:rsidRPr="00F420FD">
        <w:t>a</w:t>
      </w:r>
      <w:r w:rsidRPr="00F420FD">
        <w:t xml:space="preserve">prueba </w:t>
      </w:r>
      <w:r w:rsidR="003A46CB">
        <w:t xml:space="preserve">el </w:t>
      </w:r>
      <w:r w:rsidRPr="00F420FD">
        <w:t>Reglamento sobre Información al Consumidor de Créditos Hipotecarios</w:t>
      </w:r>
      <w:r w:rsidR="00974ABD" w:rsidRPr="00F420FD">
        <w:t xml:space="preserve">. </w:t>
      </w:r>
      <w:r w:rsidR="00753E78" w:rsidRPr="00F420FD">
        <w:t>El Reglamento</w:t>
      </w:r>
      <w:r w:rsidRPr="00F420FD">
        <w:t xml:space="preserve"> incorporó obligaciones </w:t>
      </w:r>
      <w:r w:rsidR="00753E78" w:rsidRPr="00F420FD">
        <w:t>tendientes a</w:t>
      </w:r>
      <w:r w:rsidRPr="00F420FD">
        <w:t xml:space="preserve"> facilitar la comprensión de los productos</w:t>
      </w:r>
      <w:r w:rsidR="00C06165" w:rsidRPr="00F420FD">
        <w:t xml:space="preserve"> a</w:t>
      </w:r>
      <w:r w:rsidRPr="00F420FD">
        <w:t xml:space="preserve"> contrata</w:t>
      </w:r>
      <w:r w:rsidR="00C06165" w:rsidRPr="00F420FD">
        <w:t>r</w:t>
      </w:r>
      <w:r w:rsidR="004D79C1" w:rsidRPr="00F420FD">
        <w:t xml:space="preserve"> por los consumidores</w:t>
      </w:r>
      <w:r w:rsidRPr="00F420FD">
        <w:t xml:space="preserve"> y disminuir las asimetrías de información. </w:t>
      </w:r>
      <w:bookmarkStart w:id="0" w:name="_Hlk126590174"/>
      <w:r w:rsidRPr="00F420FD">
        <w:t xml:space="preserve">Sin embargo, </w:t>
      </w:r>
      <w:r w:rsidR="00417A72" w:rsidRPr="00F420FD">
        <w:t xml:space="preserve">el </w:t>
      </w:r>
      <w:r w:rsidRPr="00F420FD">
        <w:t>desconocimiento de los consumidores de sus productos financieros</w:t>
      </w:r>
      <w:r w:rsidR="00C052EC" w:rsidRPr="00F420FD">
        <w:t xml:space="preserve"> persiste</w:t>
      </w:r>
      <w:r w:rsidRPr="00F420FD">
        <w:t>, y algunas de las obligaciones que impone el Reglamento no han sido del todo efectivas para cumplir su objetivo.</w:t>
      </w:r>
    </w:p>
    <w:p w14:paraId="389062A6" w14:textId="313CAAC6" w:rsidR="00C739F6" w:rsidRPr="00F420FD" w:rsidRDefault="00391A91" w:rsidP="00C739F6">
      <w:pPr>
        <w:jc w:val="both"/>
      </w:pPr>
      <w:r w:rsidRPr="00F420FD">
        <w:t xml:space="preserve">Al igual que la propuesta de Reglamento puesta en Consulta Pública – que, en lo sustancial, </w:t>
      </w:r>
      <w:r w:rsidR="00A36A9B" w:rsidRPr="00F420FD">
        <w:t>no ha sido alterada – la modificación relativa a la “tasa de referencia de</w:t>
      </w:r>
      <w:r w:rsidR="005463CC">
        <w:t>l</w:t>
      </w:r>
      <w:r w:rsidR="00A36A9B" w:rsidRPr="00F420FD">
        <w:t xml:space="preserve"> mercado” ha sido realizada en un trabajo</w:t>
      </w:r>
      <w:r w:rsidR="005C5477" w:rsidRPr="00F420FD">
        <w:t xml:space="preserve"> </w:t>
      </w:r>
      <w:bookmarkEnd w:id="0"/>
      <w:r w:rsidR="005C5477" w:rsidRPr="00F420FD">
        <w:t>liderado por</w:t>
      </w:r>
      <w:r w:rsidR="00C739F6" w:rsidRPr="00F420FD">
        <w:t xml:space="preserve"> el Ministerio de Economía, Fomento y Turismo, junto con</w:t>
      </w:r>
      <w:r w:rsidR="00D900CA" w:rsidRPr="00F420FD">
        <w:t xml:space="preserve"> el Servicio Nacional del Consumidor</w:t>
      </w:r>
      <w:r w:rsidR="00C739F6" w:rsidRPr="00F420FD">
        <w:t xml:space="preserve"> </w:t>
      </w:r>
      <w:r w:rsidR="00D900CA" w:rsidRPr="00F420FD">
        <w:t>(en adelante, el “</w:t>
      </w:r>
      <w:r w:rsidR="00C739F6" w:rsidRPr="00F420FD">
        <w:t>SERNAC</w:t>
      </w:r>
      <w:r w:rsidR="00D900CA" w:rsidRPr="00F420FD">
        <w:t>”)</w:t>
      </w:r>
      <w:r w:rsidR="00C739F6" w:rsidRPr="00F420FD">
        <w:t xml:space="preserve">, </w:t>
      </w:r>
      <w:r w:rsidR="00990202" w:rsidRPr="00F420FD">
        <w:t>con la colaboración de</w:t>
      </w:r>
      <w:r w:rsidR="00C739F6" w:rsidRPr="00F420FD">
        <w:t>, entre otros, el Ministerio de Hacienda y la Comisión Para el Mercado Financiero (</w:t>
      </w:r>
      <w:r w:rsidR="00D900CA" w:rsidRPr="00F420FD">
        <w:t>en adelante, la “</w:t>
      </w:r>
      <w:r w:rsidR="00C739F6" w:rsidRPr="00F420FD">
        <w:t>CMF</w:t>
      </w:r>
      <w:r w:rsidR="00D900CA" w:rsidRPr="00F420FD">
        <w:t>”</w:t>
      </w:r>
      <w:r w:rsidR="00C739F6" w:rsidRPr="00F420FD">
        <w:t>). La evidencia recogida muestra que los cambios propuestos</w:t>
      </w:r>
      <w:r w:rsidR="00CA33DD" w:rsidRPr="00F420FD">
        <w:t>, tanto en la propuesta original como en esta nueva versión,</w:t>
      </w:r>
      <w:r w:rsidR="00C739F6" w:rsidRPr="00F420FD">
        <w:t xml:space="preserve"> favorecen tanto el entendimiento de la información por parte de los consumidores como la disposición a comparar y evaluar distintos productos financieros.</w:t>
      </w:r>
    </w:p>
    <w:p w14:paraId="16253F5B" w14:textId="419F4D0A" w:rsidR="00C739F6" w:rsidRDefault="00C739F6" w:rsidP="00113DE6">
      <w:pPr>
        <w:jc w:val="both"/>
      </w:pPr>
    </w:p>
    <w:p w14:paraId="42C2A280" w14:textId="77777777" w:rsidR="00113DE6" w:rsidRPr="00F420FD" w:rsidRDefault="00113DE6" w:rsidP="00113DE6">
      <w:pPr>
        <w:jc w:val="both"/>
      </w:pPr>
    </w:p>
    <w:p w14:paraId="2DFC4BF8" w14:textId="77777777" w:rsidR="00C739F6" w:rsidRPr="00F420FD" w:rsidRDefault="00C739F6" w:rsidP="00C739F6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F420FD">
        <w:rPr>
          <w:b/>
          <w:bCs/>
        </w:rPr>
        <w:lastRenderedPageBreak/>
        <w:t>Contenido del Reglamento</w:t>
      </w:r>
    </w:p>
    <w:p w14:paraId="3625E8AE" w14:textId="257B48F9" w:rsidR="00D97D52" w:rsidRPr="00F420FD" w:rsidRDefault="00C739F6" w:rsidP="00C739F6">
      <w:pPr>
        <w:jc w:val="both"/>
      </w:pPr>
      <w:r w:rsidRPr="00F420FD">
        <w:t>La modificación</w:t>
      </w:r>
      <w:r w:rsidR="00D97D52" w:rsidRPr="00F420FD">
        <w:t xml:space="preserve"> del Reglamento, en lo sustancial, mantiene el contenido y estructura de la propuesta publicada en febrero de 2022, ajustada a las propuestas realizadas por la industria</w:t>
      </w:r>
      <w:r w:rsidR="00B92526" w:rsidRPr="00F420FD">
        <w:t xml:space="preserve"> e interesados</w:t>
      </w:r>
      <w:r w:rsidR="00D97D52" w:rsidRPr="00F420FD">
        <w:t xml:space="preserve"> en esa oportunidad. </w:t>
      </w:r>
    </w:p>
    <w:p w14:paraId="7F1CE8A5" w14:textId="0E724F0A" w:rsidR="00D723A8" w:rsidRPr="00F420FD" w:rsidRDefault="00D723A8" w:rsidP="00C739F6">
      <w:pPr>
        <w:jc w:val="both"/>
      </w:pPr>
      <w:r w:rsidRPr="00F420FD">
        <w:t>Las modificaciones introducidas dicen relación con la denominada “tasa de referencia de</w:t>
      </w:r>
      <w:r w:rsidR="005463CC">
        <w:t>l</w:t>
      </w:r>
      <w:r w:rsidRPr="00F420FD">
        <w:t xml:space="preserve"> mercado”</w:t>
      </w:r>
      <w:r w:rsidR="00636F31" w:rsidRPr="00F420FD">
        <w:t>, que consiste en una ci</w:t>
      </w:r>
      <w:r w:rsidR="006B0048" w:rsidRPr="00F420FD">
        <w:t xml:space="preserve">fra que refleja la tasa de interés anualizada promedio del mercado de Créditos Hipotecarios, que se tramifica según </w:t>
      </w:r>
      <w:r w:rsidR="008563FA" w:rsidRPr="00F420FD">
        <w:t>el monto y el plazo del capital adeudado. La tasa de referencia de</w:t>
      </w:r>
      <w:r w:rsidR="005463CC">
        <w:t>l</w:t>
      </w:r>
      <w:r w:rsidR="008563FA" w:rsidRPr="00F420FD">
        <w:t xml:space="preserve"> mercado </w:t>
      </w:r>
      <w:r w:rsidR="0099555D" w:rsidRPr="00F420FD">
        <w:t>que corresponda s</w:t>
      </w:r>
      <w:r w:rsidR="007C6EFD" w:rsidRPr="00F420FD">
        <w:t xml:space="preserve">egún el </w:t>
      </w:r>
      <w:r w:rsidR="00186EE9" w:rsidRPr="00F420FD">
        <w:t>tramo</w:t>
      </w:r>
      <w:r w:rsidR="007C6EFD" w:rsidRPr="00F420FD">
        <w:t xml:space="preserve"> </w:t>
      </w:r>
      <w:r w:rsidR="008563FA" w:rsidRPr="00F420FD">
        <w:t>debe</w:t>
      </w:r>
      <w:r w:rsidR="0099555D" w:rsidRPr="00F420FD">
        <w:t>rá</w:t>
      </w:r>
      <w:r w:rsidR="008563FA" w:rsidRPr="00F420FD">
        <w:t xml:space="preserve"> ser informada a los consumidores en </w:t>
      </w:r>
      <w:r w:rsidR="0099555D" w:rsidRPr="00F420FD">
        <w:t>la Hoja Resumen de Cotización y en la Cartilla Trimestral</w:t>
      </w:r>
      <w:r w:rsidR="007C6EFD" w:rsidRPr="00F420FD">
        <w:t>.</w:t>
      </w:r>
    </w:p>
    <w:p w14:paraId="44AAA03C" w14:textId="1F402597" w:rsidR="007C6EFD" w:rsidRDefault="00CE1B90" w:rsidP="00C739F6">
      <w:pPr>
        <w:jc w:val="both"/>
      </w:pPr>
      <w:r w:rsidRPr="00F420FD">
        <w:t xml:space="preserve">Esta incorporación tiene como objetivo informar un parámetro de comparación de las tasas de interés, incentivando la cotización en distintas instituciones financieras, sin perjuicio de su carácter meramente referencial </w:t>
      </w:r>
      <w:r w:rsidR="00D446C8" w:rsidRPr="00F420FD">
        <w:t xml:space="preserve">que se indica expresamente en ambas cartillas. </w:t>
      </w:r>
      <w:r w:rsidR="002D0497" w:rsidRPr="00F420FD">
        <w:t xml:space="preserve">Adicionalmente, se incorpora una indicación </w:t>
      </w:r>
      <w:r w:rsidR="00C145EB" w:rsidRPr="00F420FD">
        <w:t xml:space="preserve">del ahorro potencial </w:t>
      </w:r>
      <w:r w:rsidR="00AD24F3" w:rsidRPr="00F420FD">
        <w:t>si al portarse se lograra obtener la tasa de referencia de</w:t>
      </w:r>
      <w:r w:rsidR="005463CC">
        <w:t>l</w:t>
      </w:r>
      <w:r w:rsidR="00AD24F3" w:rsidRPr="00F420FD">
        <w:t xml:space="preserve"> mercado</w:t>
      </w:r>
      <w:r w:rsidR="00EC3E10" w:rsidRPr="00F420FD">
        <w:t>, con el</w:t>
      </w:r>
      <w:r w:rsidR="00541177" w:rsidRPr="00F420FD">
        <w:t xml:space="preserve"> mismo objetivo de incentivar la comparación y cotización en otras instituciones financieras.</w:t>
      </w:r>
    </w:p>
    <w:p w14:paraId="4BF257BA" w14:textId="6A6B1B7E" w:rsidR="00C739F6" w:rsidRDefault="00C82A42" w:rsidP="003A1C38">
      <w:pPr>
        <w:jc w:val="both"/>
      </w:pPr>
      <w:r>
        <w:t>En definitiva</w:t>
      </w:r>
      <w:r w:rsidR="00F62F9F">
        <w:t>, est</w:t>
      </w:r>
      <w:r w:rsidR="00085025">
        <w:t xml:space="preserve">a incorporación </w:t>
      </w:r>
      <w:r w:rsidR="00F62F9F">
        <w:t>se materializ</w:t>
      </w:r>
      <w:r w:rsidR="00085025">
        <w:t>a</w:t>
      </w:r>
      <w:r w:rsidR="00F62F9F">
        <w:t xml:space="preserve"> en</w:t>
      </w:r>
      <w:r w:rsidR="00085025">
        <w:t xml:space="preserve"> el reglamento a través de</w:t>
      </w:r>
      <w:r w:rsidR="00F62F9F">
        <w:t xml:space="preserve"> la inclusión de la definición de la “Tasa de Referencia del Mercado” en el artículo 3 </w:t>
      </w:r>
      <w:proofErr w:type="spellStart"/>
      <w:r w:rsidR="00F62F9F">
        <w:t>N°</w:t>
      </w:r>
      <w:proofErr w:type="spellEnd"/>
      <w:r w:rsidR="00C17859">
        <w:t xml:space="preserve"> </w:t>
      </w:r>
      <w:r w:rsidR="00F62F9F">
        <w:t>51, y en todos aquellos en que se hace</w:t>
      </w:r>
      <w:r w:rsidR="00824770">
        <w:t xml:space="preserve"> referencia la visualización en las distintas cartillas, es decir, en los artículos 9°, 10°, 25° y 37°</w:t>
      </w:r>
      <w:r w:rsidR="00C17859">
        <w:t>, referidos respectivamente a:</w:t>
      </w:r>
      <w:r w:rsidR="00422D03">
        <w:t xml:space="preserve"> Formato de la Hoja de Resumen de las cotizaciones; Contenido de la Hoja de Resumen de Cotización; Contenido y Presentación de la Información Periódica</w:t>
      </w:r>
      <w:r w:rsidR="003A1C38">
        <w:t xml:space="preserve"> y; </w:t>
      </w:r>
      <w:r w:rsidR="00422D03">
        <w:t>Reglas Generales de Formato.</w:t>
      </w:r>
    </w:p>
    <w:p w14:paraId="2848CC87" w14:textId="77777777" w:rsidR="00C739F6" w:rsidRPr="00C46078" w:rsidRDefault="00C739F6" w:rsidP="00C739F6">
      <w:pPr>
        <w:pStyle w:val="Prrafodelista"/>
        <w:numPr>
          <w:ilvl w:val="0"/>
          <w:numId w:val="1"/>
        </w:numPr>
        <w:jc w:val="both"/>
        <w:rPr>
          <w:b/>
          <w:bCs/>
        </w:rPr>
      </w:pPr>
      <w:proofErr w:type="gramStart"/>
      <w:r w:rsidRPr="00C46078">
        <w:rPr>
          <w:b/>
          <w:bCs/>
        </w:rPr>
        <w:t>Entrada en Vigencia</w:t>
      </w:r>
      <w:proofErr w:type="gramEnd"/>
    </w:p>
    <w:p w14:paraId="0BDB1F5A" w14:textId="1646A7E0" w:rsidR="00C739F6" w:rsidRDefault="00C739F6" w:rsidP="00C739F6">
      <w:pPr>
        <w:jc w:val="both"/>
      </w:pPr>
      <w:r>
        <w:t xml:space="preserve">Las modificaciones introducidas por el Decreto propuesto al Reglamento sobre Información al Consumidor de Créditos </w:t>
      </w:r>
      <w:r w:rsidR="00ED2F2C">
        <w:t>Hipotecarios</w:t>
      </w:r>
      <w:r>
        <w:t xml:space="preserve"> entrarán en vigencia una </w:t>
      </w:r>
      <w:r w:rsidRPr="00F420FD">
        <w:t xml:space="preserve">vez transcurridos </w:t>
      </w:r>
      <w:r w:rsidR="007A66F7">
        <w:t>doce</w:t>
      </w:r>
      <w:r w:rsidRPr="00F420FD">
        <w:t xml:space="preserve"> meses de su publicación en el Diario Oficial.</w:t>
      </w:r>
    </w:p>
    <w:p w14:paraId="08BD36D0" w14:textId="77777777" w:rsidR="00927539" w:rsidRDefault="00927539"/>
    <w:sectPr w:rsidR="00927539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D171" w14:textId="77777777" w:rsidR="00624615" w:rsidRDefault="00624615" w:rsidP="00212854">
      <w:pPr>
        <w:spacing w:after="0" w:line="240" w:lineRule="auto"/>
      </w:pPr>
      <w:r>
        <w:separator/>
      </w:r>
    </w:p>
  </w:endnote>
  <w:endnote w:type="continuationSeparator" w:id="0">
    <w:p w14:paraId="2E43E4D1" w14:textId="77777777" w:rsidR="00624615" w:rsidRDefault="00624615" w:rsidP="00212854">
      <w:pPr>
        <w:spacing w:after="0" w:line="240" w:lineRule="auto"/>
      </w:pPr>
      <w:r>
        <w:continuationSeparator/>
      </w:r>
    </w:p>
  </w:endnote>
  <w:endnote w:type="continuationNotice" w:id="1">
    <w:p w14:paraId="152EAB6A" w14:textId="77777777" w:rsidR="00624615" w:rsidRDefault="00624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8605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D6D32DA" w14:textId="30FC5A12" w:rsidR="008C7035" w:rsidRDefault="008C7035">
            <w:pPr>
              <w:pStyle w:val="Piedepgina"/>
              <w:jc w:val="center"/>
            </w:pPr>
            <w:r>
              <w:rPr>
                <w:lang w:val="es-MX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MX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MX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MX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E320B0" w14:textId="77777777" w:rsidR="008C7035" w:rsidRDefault="008C70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4F39" w14:textId="77777777" w:rsidR="00624615" w:rsidRDefault="00624615" w:rsidP="00212854">
      <w:pPr>
        <w:spacing w:after="0" w:line="240" w:lineRule="auto"/>
      </w:pPr>
      <w:r>
        <w:separator/>
      </w:r>
    </w:p>
  </w:footnote>
  <w:footnote w:type="continuationSeparator" w:id="0">
    <w:p w14:paraId="2CCCDEFF" w14:textId="77777777" w:rsidR="00624615" w:rsidRDefault="00624615" w:rsidP="00212854">
      <w:pPr>
        <w:spacing w:after="0" w:line="240" w:lineRule="auto"/>
      </w:pPr>
      <w:r>
        <w:continuationSeparator/>
      </w:r>
    </w:p>
  </w:footnote>
  <w:footnote w:type="continuationNotice" w:id="1">
    <w:p w14:paraId="1F36BEB8" w14:textId="77777777" w:rsidR="00624615" w:rsidRDefault="00624615">
      <w:pPr>
        <w:spacing w:after="0" w:line="240" w:lineRule="auto"/>
      </w:pPr>
    </w:p>
  </w:footnote>
  <w:footnote w:id="2">
    <w:p w14:paraId="1BBE6ADE" w14:textId="553D3CB6" w:rsidR="00B37293" w:rsidRPr="00F420FD" w:rsidRDefault="002128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Véase en: </w:t>
      </w:r>
      <w:hyperlink r:id="rId1" w:history="1">
        <w:r w:rsidR="00B37293" w:rsidRPr="00DE3E04">
          <w:rPr>
            <w:rStyle w:val="Hipervnculo"/>
            <w:lang w:val="es-ES"/>
          </w:rPr>
          <w:t>https://pac.economia.gob.cl/consultas-regulatorias/reglamento-sobre-informacion-al-consumidor-de-creditos-hipotecarios/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D01"/>
    <w:multiLevelType w:val="hybridMultilevel"/>
    <w:tmpl w:val="B7D020D8"/>
    <w:lvl w:ilvl="0" w:tplc="5AFA9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1000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7747"/>
    <w:multiLevelType w:val="hybridMultilevel"/>
    <w:tmpl w:val="3CDAE3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72687B8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1BCA"/>
    <w:multiLevelType w:val="hybridMultilevel"/>
    <w:tmpl w:val="B80C15C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841799">
    <w:abstractNumId w:val="0"/>
  </w:num>
  <w:num w:numId="2" w16cid:durableId="2065836333">
    <w:abstractNumId w:val="1"/>
  </w:num>
  <w:num w:numId="3" w16cid:durableId="1569270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F6"/>
    <w:rsid w:val="000218E0"/>
    <w:rsid w:val="00045247"/>
    <w:rsid w:val="0005326D"/>
    <w:rsid w:val="00085025"/>
    <w:rsid w:val="000876D1"/>
    <w:rsid w:val="00104EA7"/>
    <w:rsid w:val="00112EAC"/>
    <w:rsid w:val="00113DE6"/>
    <w:rsid w:val="00114F02"/>
    <w:rsid w:val="00142CB6"/>
    <w:rsid w:val="00186EE9"/>
    <w:rsid w:val="001E767F"/>
    <w:rsid w:val="00212854"/>
    <w:rsid w:val="002433F1"/>
    <w:rsid w:val="00273F1D"/>
    <w:rsid w:val="002A287A"/>
    <w:rsid w:val="002A6CC0"/>
    <w:rsid w:val="002C3A7B"/>
    <w:rsid w:val="002D0497"/>
    <w:rsid w:val="002E32A0"/>
    <w:rsid w:val="002F2492"/>
    <w:rsid w:val="00325F6D"/>
    <w:rsid w:val="00346F83"/>
    <w:rsid w:val="00354F63"/>
    <w:rsid w:val="003567D7"/>
    <w:rsid w:val="00391A91"/>
    <w:rsid w:val="003A1C38"/>
    <w:rsid w:val="003A46CB"/>
    <w:rsid w:val="003E6291"/>
    <w:rsid w:val="00417A72"/>
    <w:rsid w:val="00421B79"/>
    <w:rsid w:val="00422D03"/>
    <w:rsid w:val="00497BA5"/>
    <w:rsid w:val="004C61C4"/>
    <w:rsid w:val="004C6FB5"/>
    <w:rsid w:val="004D79C1"/>
    <w:rsid w:val="00541177"/>
    <w:rsid w:val="005463CC"/>
    <w:rsid w:val="00552467"/>
    <w:rsid w:val="0057008A"/>
    <w:rsid w:val="005C5477"/>
    <w:rsid w:val="00624615"/>
    <w:rsid w:val="00626A1C"/>
    <w:rsid w:val="00636F31"/>
    <w:rsid w:val="00646952"/>
    <w:rsid w:val="0067708C"/>
    <w:rsid w:val="006B0048"/>
    <w:rsid w:val="006B0BB5"/>
    <w:rsid w:val="006B403F"/>
    <w:rsid w:val="006C0F03"/>
    <w:rsid w:val="00753E78"/>
    <w:rsid w:val="00776DA6"/>
    <w:rsid w:val="00777A70"/>
    <w:rsid w:val="00782A58"/>
    <w:rsid w:val="007A66F7"/>
    <w:rsid w:val="007C6EFD"/>
    <w:rsid w:val="007F0AA2"/>
    <w:rsid w:val="00824770"/>
    <w:rsid w:val="0083453D"/>
    <w:rsid w:val="008563FA"/>
    <w:rsid w:val="0086602C"/>
    <w:rsid w:val="00886976"/>
    <w:rsid w:val="008C7035"/>
    <w:rsid w:val="008E4549"/>
    <w:rsid w:val="0091568E"/>
    <w:rsid w:val="00927539"/>
    <w:rsid w:val="00942721"/>
    <w:rsid w:val="00961658"/>
    <w:rsid w:val="00974429"/>
    <w:rsid w:val="00974ABD"/>
    <w:rsid w:val="00990202"/>
    <w:rsid w:val="0099555D"/>
    <w:rsid w:val="0099782F"/>
    <w:rsid w:val="00A36A9B"/>
    <w:rsid w:val="00AD24F3"/>
    <w:rsid w:val="00AD27D4"/>
    <w:rsid w:val="00B0054C"/>
    <w:rsid w:val="00B0753A"/>
    <w:rsid w:val="00B154B6"/>
    <w:rsid w:val="00B37293"/>
    <w:rsid w:val="00B37AF7"/>
    <w:rsid w:val="00B5297B"/>
    <w:rsid w:val="00B92526"/>
    <w:rsid w:val="00C052EC"/>
    <w:rsid w:val="00C06165"/>
    <w:rsid w:val="00C145EB"/>
    <w:rsid w:val="00C17859"/>
    <w:rsid w:val="00C53710"/>
    <w:rsid w:val="00C739F6"/>
    <w:rsid w:val="00C82A42"/>
    <w:rsid w:val="00CA33DD"/>
    <w:rsid w:val="00CC5F74"/>
    <w:rsid w:val="00CE1B90"/>
    <w:rsid w:val="00D03A8E"/>
    <w:rsid w:val="00D16B4B"/>
    <w:rsid w:val="00D446C8"/>
    <w:rsid w:val="00D46314"/>
    <w:rsid w:val="00D723A8"/>
    <w:rsid w:val="00D87ACF"/>
    <w:rsid w:val="00D900CA"/>
    <w:rsid w:val="00D97D52"/>
    <w:rsid w:val="00E15FD5"/>
    <w:rsid w:val="00E8374F"/>
    <w:rsid w:val="00E84340"/>
    <w:rsid w:val="00EB3C3A"/>
    <w:rsid w:val="00EC3E10"/>
    <w:rsid w:val="00EC6C13"/>
    <w:rsid w:val="00ED15AE"/>
    <w:rsid w:val="00ED2F2C"/>
    <w:rsid w:val="00F25108"/>
    <w:rsid w:val="00F420FD"/>
    <w:rsid w:val="00F463BE"/>
    <w:rsid w:val="00F62F9F"/>
    <w:rsid w:val="00F91883"/>
    <w:rsid w:val="00FB7694"/>
    <w:rsid w:val="00FF05DB"/>
    <w:rsid w:val="578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7F38"/>
  <w15:chartTrackingRefBased/>
  <w15:docId w15:val="{38B28698-46D6-4ED8-8F74-1C07185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9F6"/>
    <w:pPr>
      <w:ind w:left="720"/>
      <w:contextualSpacing/>
    </w:pPr>
  </w:style>
  <w:style w:type="paragraph" w:styleId="Revisin">
    <w:name w:val="Revision"/>
    <w:hidden/>
    <w:uiPriority w:val="99"/>
    <w:semiHidden/>
    <w:rsid w:val="0083453D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128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28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85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372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729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42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420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420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0F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0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53A"/>
  </w:style>
  <w:style w:type="paragraph" w:styleId="Piedepgina">
    <w:name w:val="footer"/>
    <w:basedOn w:val="Normal"/>
    <w:link w:val="PiedepginaCar"/>
    <w:uiPriority w:val="99"/>
    <w:unhideWhenUsed/>
    <w:rsid w:val="00B0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c.economia.gob.cl/consultas-regulatorias/reglamento-sobre-informacion-al-consumidor-de-creditos-hipotecar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7501d-ae78-41d6-b882-c4f0744a6c48">
      <Terms xmlns="http://schemas.microsoft.com/office/infopath/2007/PartnerControls"/>
    </lcf76f155ced4ddcb4097134ff3c332f>
    <TaxCatchAll xmlns="4191e72e-4b4f-4369-af80-98f287373a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CA0C9F4A68640A339C2F9783FA831" ma:contentTypeVersion="16" ma:contentTypeDescription="Crear nuevo documento." ma:contentTypeScope="" ma:versionID="7de695c86e604fef8dab1544521c6830">
  <xsd:schema xmlns:xsd="http://www.w3.org/2001/XMLSchema" xmlns:xs="http://www.w3.org/2001/XMLSchema" xmlns:p="http://schemas.microsoft.com/office/2006/metadata/properties" xmlns:ns2="79f7501d-ae78-41d6-b882-c4f0744a6c48" xmlns:ns3="4191e72e-4b4f-4369-af80-98f287373a76" targetNamespace="http://schemas.microsoft.com/office/2006/metadata/properties" ma:root="true" ma:fieldsID="5b07e463744642731dc2e962a6b659eb" ns2:_="" ns3:_="">
    <xsd:import namespace="79f7501d-ae78-41d6-b882-c4f0744a6c48"/>
    <xsd:import namespace="4191e72e-4b4f-4369-af80-98f287373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7501d-ae78-41d6-b882-c4f0744a6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ba3e9c4-acb9-4b99-8582-8c158fb26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1e72e-4b4f-4369-af80-98f287373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ef0b0-a1f0-4b86-a2b1-6a75f9f93a68}" ma:internalName="TaxCatchAll" ma:showField="CatchAllData" ma:web="4191e72e-4b4f-4369-af80-98f287373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4823-5C44-4BE0-837C-F1718C5EEF0D}">
  <ds:schemaRefs>
    <ds:schemaRef ds:uri="http://schemas.microsoft.com/office/2006/metadata/properties"/>
    <ds:schemaRef ds:uri="http://schemas.microsoft.com/office/infopath/2007/PartnerControls"/>
    <ds:schemaRef ds:uri="79f7501d-ae78-41d6-b882-c4f0744a6c48"/>
    <ds:schemaRef ds:uri="4191e72e-4b4f-4369-af80-98f287373a76"/>
  </ds:schemaRefs>
</ds:datastoreItem>
</file>

<file path=customXml/itemProps2.xml><?xml version="1.0" encoding="utf-8"?>
<ds:datastoreItem xmlns:ds="http://schemas.openxmlformats.org/officeDocument/2006/customXml" ds:itemID="{97754BDD-087B-477D-9312-0EE63111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7501d-ae78-41d6-b882-c4f0744a6c48"/>
    <ds:schemaRef ds:uri="4191e72e-4b4f-4369-af80-98f287373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A4D2D-3F29-4C6D-9478-A03377240A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D9B61-9348-4ECC-921A-446DF7F8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Economía</dc:creator>
  <cp:keywords/>
  <dc:description/>
  <cp:lastModifiedBy>Ministerio de Economía </cp:lastModifiedBy>
  <cp:revision>2</cp:revision>
  <cp:lastPrinted>2023-04-03T20:24:00Z</cp:lastPrinted>
  <dcterms:created xsi:type="dcterms:W3CDTF">2023-05-26T15:26:00Z</dcterms:created>
  <dcterms:modified xsi:type="dcterms:W3CDTF">2023-05-26T15:26:00Z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0x0101002FCCA0C9F4A68640A339C2F9783FA831</vt:lpwstr>
  </property>
</Properties>
</file>